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0414" w14:textId="22AA7E0F" w:rsidR="00475BC2" w:rsidRPr="006047E6" w:rsidRDefault="006047E6" w:rsidP="006047E6">
      <w:pPr>
        <w:jc w:val="center"/>
        <w:rPr>
          <w:b/>
          <w:sz w:val="40"/>
          <w:szCs w:val="40"/>
        </w:rPr>
      </w:pPr>
      <w:r>
        <w:rPr>
          <w:b/>
          <w:sz w:val="40"/>
          <w:szCs w:val="40"/>
        </w:rPr>
        <w:t>NCPA Comments – PRR 1153</w:t>
      </w:r>
    </w:p>
    <w:p w14:paraId="0CDA3A27" w14:textId="77777777" w:rsidR="00C4611D" w:rsidRDefault="00C4611D"/>
    <w:tbl>
      <w:tblPr>
        <w:tblpPr w:leftFromText="180" w:rightFromText="180" w:vertAnchor="page" w:horzAnchor="margin" w:tblpY="2142"/>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174"/>
        <w:gridCol w:w="2830"/>
        <w:gridCol w:w="2299"/>
      </w:tblGrid>
      <w:tr w:rsidR="009516CD" w14:paraId="22EC082B" w14:textId="77777777" w:rsidTr="009516CD">
        <w:trPr>
          <w:trHeight w:val="350"/>
        </w:trPr>
        <w:tc>
          <w:tcPr>
            <w:tcW w:w="4174" w:type="dxa"/>
            <w:shd w:val="clear" w:color="auto" w:fill="C0C0C0"/>
          </w:tcPr>
          <w:p w14:paraId="61B94FC7" w14:textId="77777777" w:rsidR="009516CD" w:rsidRPr="00605A43" w:rsidRDefault="009516CD" w:rsidP="009516CD">
            <w:pPr>
              <w:rPr>
                <w:b/>
              </w:rPr>
            </w:pPr>
            <w:r w:rsidRPr="00605A43">
              <w:rPr>
                <w:b/>
              </w:rPr>
              <w:t xml:space="preserve">Submitted by </w:t>
            </w:r>
          </w:p>
        </w:tc>
        <w:tc>
          <w:tcPr>
            <w:tcW w:w="2830" w:type="dxa"/>
            <w:shd w:val="clear" w:color="auto" w:fill="C0C0C0"/>
          </w:tcPr>
          <w:p w14:paraId="1D3681AD" w14:textId="77777777" w:rsidR="009516CD" w:rsidRPr="00605A43" w:rsidRDefault="009516CD" w:rsidP="009516CD">
            <w:pPr>
              <w:rPr>
                <w:b/>
              </w:rPr>
            </w:pPr>
            <w:r w:rsidRPr="00605A43">
              <w:rPr>
                <w:b/>
              </w:rPr>
              <w:t>Company</w:t>
            </w:r>
          </w:p>
        </w:tc>
        <w:tc>
          <w:tcPr>
            <w:tcW w:w="2299" w:type="dxa"/>
            <w:shd w:val="clear" w:color="auto" w:fill="C0C0C0"/>
          </w:tcPr>
          <w:p w14:paraId="4F199167" w14:textId="77777777" w:rsidR="009516CD" w:rsidRPr="00605A43" w:rsidRDefault="009516CD" w:rsidP="009516CD">
            <w:pPr>
              <w:rPr>
                <w:b/>
              </w:rPr>
            </w:pPr>
            <w:r w:rsidRPr="00605A43">
              <w:rPr>
                <w:b/>
              </w:rPr>
              <w:t>Date Submitted</w:t>
            </w:r>
          </w:p>
        </w:tc>
      </w:tr>
      <w:tr w:rsidR="009516CD" w14:paraId="55AAF7F1" w14:textId="77777777" w:rsidTr="009516CD">
        <w:tblPrEx>
          <w:shd w:val="clear" w:color="auto" w:fill="auto"/>
        </w:tblPrEx>
        <w:trPr>
          <w:trHeight w:val="1071"/>
        </w:trPr>
        <w:tc>
          <w:tcPr>
            <w:tcW w:w="4174" w:type="dxa"/>
          </w:tcPr>
          <w:p w14:paraId="540214BD" w14:textId="6DA3F5F8" w:rsidR="009516CD" w:rsidRDefault="009516CD" w:rsidP="009516CD">
            <w:pPr>
              <w:rPr>
                <w:i/>
              </w:rPr>
            </w:pPr>
            <w:r>
              <w:rPr>
                <w:i/>
              </w:rPr>
              <w:t>Mike Whitney</w:t>
            </w:r>
          </w:p>
          <w:p w14:paraId="7F9261D8" w14:textId="4C74BBCF" w:rsidR="009516CD" w:rsidRDefault="009516CD" w:rsidP="009516CD">
            <w:pPr>
              <w:rPr>
                <w:i/>
              </w:rPr>
            </w:pPr>
            <w:hyperlink r:id="rId14" w:history="1">
              <w:r w:rsidRPr="00BB33B0">
                <w:rPr>
                  <w:rStyle w:val="Hyperlink"/>
                  <w:i/>
                </w:rPr>
                <w:t>mike.whitney@ncpa.com</w:t>
              </w:r>
            </w:hyperlink>
          </w:p>
          <w:p w14:paraId="48A42C27" w14:textId="7407762E" w:rsidR="009516CD" w:rsidRDefault="009516CD" w:rsidP="009516CD">
            <w:pPr>
              <w:rPr>
                <w:i/>
              </w:rPr>
            </w:pPr>
            <w:r>
              <w:rPr>
                <w:i/>
              </w:rPr>
              <w:t>(916)781-4205</w:t>
            </w:r>
          </w:p>
          <w:p w14:paraId="6EE27C8F" w14:textId="77777777" w:rsidR="009516CD" w:rsidRPr="00605A43" w:rsidRDefault="009516CD" w:rsidP="009516CD">
            <w:pPr>
              <w:spacing w:before="60" w:afterLines="60" w:after="144"/>
              <w:ind w:left="720"/>
              <w:rPr>
                <w:i/>
              </w:rPr>
            </w:pPr>
          </w:p>
        </w:tc>
        <w:tc>
          <w:tcPr>
            <w:tcW w:w="2830" w:type="dxa"/>
          </w:tcPr>
          <w:p w14:paraId="01D17B5B" w14:textId="35A6C48C" w:rsidR="009516CD" w:rsidRDefault="009516CD" w:rsidP="009516CD">
            <w:pPr>
              <w:rPr>
                <w:i/>
              </w:rPr>
            </w:pPr>
            <w:r>
              <w:rPr>
                <w:i/>
              </w:rPr>
              <w:t>NCPA</w:t>
            </w:r>
          </w:p>
          <w:p w14:paraId="5C75F9D8" w14:textId="77777777" w:rsidR="009516CD" w:rsidRPr="00CE0797" w:rsidRDefault="009516CD" w:rsidP="009516CD">
            <w:pPr>
              <w:spacing w:before="60" w:afterLines="60" w:after="144"/>
              <w:ind w:left="720"/>
              <w:rPr>
                <w:i/>
                <w:color w:val="7030A0"/>
              </w:rPr>
            </w:pPr>
          </w:p>
        </w:tc>
        <w:tc>
          <w:tcPr>
            <w:tcW w:w="2299" w:type="dxa"/>
          </w:tcPr>
          <w:p w14:paraId="34FEBE9F" w14:textId="6998AC44" w:rsidR="009516CD" w:rsidRDefault="009516CD" w:rsidP="009516CD">
            <w:pPr>
              <w:rPr>
                <w:i/>
              </w:rPr>
            </w:pPr>
            <w:r>
              <w:rPr>
                <w:i/>
              </w:rPr>
              <w:t>4/18/2019</w:t>
            </w:r>
          </w:p>
          <w:p w14:paraId="2BE39A80" w14:textId="77777777" w:rsidR="009516CD" w:rsidRPr="00605A43" w:rsidRDefault="009516CD" w:rsidP="009516CD">
            <w:pPr>
              <w:spacing w:before="60" w:afterLines="60" w:after="144"/>
              <w:ind w:left="720"/>
              <w:rPr>
                <w:i/>
              </w:rPr>
            </w:pPr>
          </w:p>
        </w:tc>
      </w:tr>
    </w:tbl>
    <w:p w14:paraId="0FE8FE1F" w14:textId="77777777" w:rsidR="009516CD" w:rsidRDefault="009516CD" w:rsidP="00F33CB2"/>
    <w:p w14:paraId="50211AE9" w14:textId="77777777" w:rsidR="009516CD" w:rsidRDefault="009516CD" w:rsidP="00F33CB2"/>
    <w:p w14:paraId="34181BA0" w14:textId="77777777" w:rsidR="009516CD" w:rsidRDefault="009516CD" w:rsidP="00F33CB2"/>
    <w:p w14:paraId="654942F8" w14:textId="133CF522" w:rsidR="006351CA" w:rsidRPr="009516CD" w:rsidRDefault="00DB609E" w:rsidP="00F33CB2">
      <w:pPr>
        <w:rPr>
          <w:sz w:val="22"/>
          <w:szCs w:val="22"/>
        </w:rPr>
      </w:pPr>
      <w:r w:rsidRPr="009516CD">
        <w:rPr>
          <w:sz w:val="22"/>
          <w:szCs w:val="22"/>
        </w:rPr>
        <w:t xml:space="preserve">NCPA appreciates the opportunity to provide comments in response to PRR </w:t>
      </w:r>
      <w:r w:rsidR="006351CA" w:rsidRPr="009516CD">
        <w:rPr>
          <w:sz w:val="22"/>
          <w:szCs w:val="22"/>
        </w:rPr>
        <w:t xml:space="preserve">1153 and is very pleased with changes in 3.6.1.21. However, NCPA must point out that this is not a “holistic solution” as described in the PRR and </w:t>
      </w:r>
      <w:r w:rsidR="001A5E5D">
        <w:rPr>
          <w:sz w:val="22"/>
          <w:szCs w:val="22"/>
        </w:rPr>
        <w:t>will</w:t>
      </w:r>
      <w:r w:rsidR="006351CA" w:rsidRPr="009516CD">
        <w:rPr>
          <w:sz w:val="22"/>
          <w:szCs w:val="22"/>
        </w:rPr>
        <w:t xml:space="preserve"> still result in </w:t>
      </w:r>
      <w:r w:rsidR="009516CD">
        <w:rPr>
          <w:sz w:val="22"/>
          <w:szCs w:val="22"/>
        </w:rPr>
        <w:t>recurring</w:t>
      </w:r>
      <w:r w:rsidR="006351CA" w:rsidRPr="009516CD">
        <w:rPr>
          <w:sz w:val="22"/>
          <w:szCs w:val="22"/>
        </w:rPr>
        <w:t xml:space="preserve"> disputes due</w:t>
      </w:r>
      <w:r w:rsidR="009516CD">
        <w:rPr>
          <w:sz w:val="22"/>
          <w:szCs w:val="22"/>
        </w:rPr>
        <w:t>, including but not limited</w:t>
      </w:r>
      <w:r w:rsidR="0028116D" w:rsidRPr="009516CD">
        <w:rPr>
          <w:sz w:val="22"/>
          <w:szCs w:val="22"/>
        </w:rPr>
        <w:t xml:space="preserve"> to CAISO market failures, </w:t>
      </w:r>
      <w:r w:rsidR="006351CA" w:rsidRPr="009516CD">
        <w:rPr>
          <w:sz w:val="22"/>
          <w:szCs w:val="22"/>
        </w:rPr>
        <w:t>outages</w:t>
      </w:r>
      <w:r w:rsidR="00942559" w:rsidRPr="009516CD">
        <w:rPr>
          <w:sz w:val="22"/>
          <w:szCs w:val="22"/>
        </w:rPr>
        <w:t>,</w:t>
      </w:r>
      <w:r w:rsidR="0028116D" w:rsidRPr="009516CD">
        <w:rPr>
          <w:sz w:val="22"/>
          <w:szCs w:val="22"/>
        </w:rPr>
        <w:t xml:space="preserve"> </w:t>
      </w:r>
      <w:r w:rsidR="009516CD">
        <w:rPr>
          <w:sz w:val="22"/>
          <w:szCs w:val="22"/>
        </w:rPr>
        <w:t xml:space="preserve">the fact that TEE is more reflective of DOP than DOT, </w:t>
      </w:r>
      <w:r w:rsidR="0028116D" w:rsidRPr="009516CD">
        <w:rPr>
          <w:sz w:val="22"/>
          <w:szCs w:val="22"/>
        </w:rPr>
        <w:t>and the fact that there is no longer a “dispatch window” function to prevent Non Dispatch Mode energy from encroaching into ancillary service or load following capacity</w:t>
      </w:r>
      <w:r w:rsidR="006351CA" w:rsidRPr="009516CD">
        <w:rPr>
          <w:sz w:val="22"/>
          <w:szCs w:val="22"/>
        </w:rPr>
        <w:t xml:space="preserve">. With that said, NCPA still supports PRR 1153 and looks forward to suggesting improvements in the future. </w:t>
      </w:r>
    </w:p>
    <w:p w14:paraId="7A4B51B1" w14:textId="5955F4D1" w:rsidR="009516CD" w:rsidRPr="009516CD" w:rsidRDefault="009516CD" w:rsidP="00F33CB2">
      <w:pPr>
        <w:rPr>
          <w:sz w:val="22"/>
          <w:szCs w:val="22"/>
        </w:rPr>
      </w:pPr>
    </w:p>
    <w:p w14:paraId="519DCB0B" w14:textId="6B445719" w:rsidR="009516CD" w:rsidRPr="009516CD" w:rsidRDefault="009516CD" w:rsidP="00F33CB2">
      <w:pPr>
        <w:rPr>
          <w:b/>
          <w:sz w:val="22"/>
          <w:szCs w:val="22"/>
        </w:rPr>
      </w:pPr>
      <w:r w:rsidRPr="009516CD">
        <w:rPr>
          <w:b/>
          <w:sz w:val="22"/>
          <w:szCs w:val="22"/>
        </w:rPr>
        <w:t>Market Failures:</w:t>
      </w:r>
    </w:p>
    <w:p w14:paraId="6CF82A27" w14:textId="77777777" w:rsidR="006351CA" w:rsidRPr="009516CD" w:rsidRDefault="006351CA" w:rsidP="00F33CB2">
      <w:pPr>
        <w:rPr>
          <w:sz w:val="22"/>
          <w:szCs w:val="22"/>
        </w:rPr>
      </w:pPr>
    </w:p>
    <w:p w14:paraId="4F681F26" w14:textId="66FFBBB5" w:rsidR="006351CA" w:rsidRPr="009516CD" w:rsidRDefault="006351CA" w:rsidP="00F33CB2">
      <w:pPr>
        <w:rPr>
          <w:sz w:val="22"/>
          <w:szCs w:val="22"/>
        </w:rPr>
      </w:pPr>
      <w:r w:rsidRPr="009516CD">
        <w:rPr>
          <w:sz w:val="22"/>
          <w:szCs w:val="22"/>
        </w:rPr>
        <w:t xml:space="preserve">Market failures create issues due to the fact that </w:t>
      </w:r>
      <w:r w:rsidR="001A5E5D">
        <w:rPr>
          <w:sz w:val="22"/>
          <w:szCs w:val="22"/>
        </w:rPr>
        <w:t>they eliminate inputs required for configurations to produce correct results.</w:t>
      </w:r>
      <w:r w:rsidRPr="009516CD">
        <w:rPr>
          <w:sz w:val="22"/>
          <w:szCs w:val="22"/>
        </w:rPr>
        <w:t xml:space="preserve"> NCPA suggests that CAISO put a process in place to identify such market failures and correct any associated deviation penalties prior to statement publication. </w:t>
      </w:r>
    </w:p>
    <w:p w14:paraId="5FE47539" w14:textId="22646FC6" w:rsidR="009516CD" w:rsidRPr="009516CD" w:rsidRDefault="009516CD" w:rsidP="00F33CB2">
      <w:pPr>
        <w:rPr>
          <w:sz w:val="22"/>
          <w:szCs w:val="22"/>
        </w:rPr>
      </w:pPr>
    </w:p>
    <w:p w14:paraId="0220BBC7" w14:textId="765CE3A5" w:rsidR="009516CD" w:rsidRPr="009516CD" w:rsidRDefault="009516CD" w:rsidP="00F33CB2">
      <w:pPr>
        <w:rPr>
          <w:b/>
          <w:sz w:val="22"/>
          <w:szCs w:val="22"/>
        </w:rPr>
      </w:pPr>
      <w:r w:rsidRPr="009516CD">
        <w:rPr>
          <w:b/>
          <w:sz w:val="22"/>
          <w:szCs w:val="22"/>
        </w:rPr>
        <w:t>Forced Outage Accounting:</w:t>
      </w:r>
    </w:p>
    <w:p w14:paraId="4E899490" w14:textId="77777777" w:rsidR="006351CA" w:rsidRPr="009516CD" w:rsidRDefault="006351CA" w:rsidP="00F33CB2">
      <w:pPr>
        <w:rPr>
          <w:sz w:val="22"/>
          <w:szCs w:val="22"/>
        </w:rPr>
      </w:pPr>
    </w:p>
    <w:p w14:paraId="635DC8C5" w14:textId="4A56735C" w:rsidR="00F33CB2" w:rsidRPr="009516CD" w:rsidRDefault="006351CA" w:rsidP="0028116D">
      <w:pPr>
        <w:rPr>
          <w:sz w:val="22"/>
          <w:szCs w:val="22"/>
        </w:rPr>
      </w:pPr>
      <w:r w:rsidRPr="009516CD">
        <w:rPr>
          <w:sz w:val="22"/>
          <w:szCs w:val="22"/>
        </w:rPr>
        <w:t>CAISO’s new configuration may continue to produce deviation penalties during forced outages due to the fact that in some cases SLIC energy is converted to Optimal energy and may be incorrectly accounted for in  BAResource5M</w:t>
      </w:r>
      <w:r w:rsidR="0028116D" w:rsidRPr="009516CD">
        <w:rPr>
          <w:sz w:val="22"/>
          <w:szCs w:val="22"/>
        </w:rPr>
        <w:t>TEELessMSSLFEandOutageQuantity because if a derated portion of the bid curve is within the RT energy bid stack, regardless of the magnitude of the derate, then the energy shall be classified as Optimal Energy, and shall be included in the TEE variable, but not the MSS outage energy analogue.</w:t>
      </w:r>
    </w:p>
    <w:p w14:paraId="42697AE5" w14:textId="35991884" w:rsidR="0028116D" w:rsidRPr="009516CD" w:rsidRDefault="0028116D" w:rsidP="0028116D">
      <w:pPr>
        <w:rPr>
          <w:sz w:val="22"/>
          <w:szCs w:val="22"/>
        </w:rPr>
      </w:pPr>
    </w:p>
    <w:p w14:paraId="5E9A7C79" w14:textId="68A0E962" w:rsidR="009516CD" w:rsidRDefault="0028116D" w:rsidP="0028116D">
      <w:pPr>
        <w:rPr>
          <w:sz w:val="22"/>
          <w:szCs w:val="22"/>
        </w:rPr>
      </w:pPr>
      <w:r w:rsidRPr="009516CD">
        <w:rPr>
          <w:sz w:val="22"/>
          <w:szCs w:val="22"/>
        </w:rPr>
        <w:t>While NCPA believes OMS energy would be a more accurate reflection of outage volumes than the proposed SLIC Energy, we are concerned that accounting for any outages in  BAResource5MTEELessMSSLFEandOutageQuantity will double count the outage accounting already addressed in the Real Time Purchase/Sale component of the MSSAA Schedule 19 DOPD.</w:t>
      </w:r>
    </w:p>
    <w:p w14:paraId="00264FA3" w14:textId="56E218CB" w:rsidR="009516CD" w:rsidRDefault="009516CD" w:rsidP="0028116D">
      <w:pPr>
        <w:rPr>
          <w:sz w:val="22"/>
          <w:szCs w:val="22"/>
        </w:rPr>
      </w:pPr>
    </w:p>
    <w:p w14:paraId="3ADE0C32" w14:textId="43014A8B" w:rsidR="009516CD" w:rsidRPr="009516CD" w:rsidRDefault="009516CD" w:rsidP="0028116D">
      <w:pPr>
        <w:rPr>
          <w:b/>
          <w:sz w:val="22"/>
          <w:szCs w:val="22"/>
        </w:rPr>
      </w:pPr>
      <w:r w:rsidRPr="009516CD">
        <w:rPr>
          <w:b/>
          <w:sz w:val="22"/>
          <w:szCs w:val="22"/>
        </w:rPr>
        <w:t>DOP vs. DOT:</w:t>
      </w:r>
    </w:p>
    <w:p w14:paraId="23958240" w14:textId="212430A6" w:rsidR="009516CD" w:rsidRDefault="009516CD" w:rsidP="0028116D">
      <w:pPr>
        <w:rPr>
          <w:sz w:val="22"/>
          <w:szCs w:val="22"/>
        </w:rPr>
      </w:pPr>
    </w:p>
    <w:p w14:paraId="046B2115" w14:textId="07477BED" w:rsidR="009516CD" w:rsidRPr="009516CD" w:rsidRDefault="009516CD" w:rsidP="0028116D">
      <w:pPr>
        <w:rPr>
          <w:sz w:val="22"/>
          <w:szCs w:val="22"/>
        </w:rPr>
      </w:pPr>
      <w:r>
        <w:rPr>
          <w:sz w:val="22"/>
          <w:szCs w:val="22"/>
        </w:rPr>
        <w:t>While testing the new configuration, we observed instances where TEE differed from the binding DOT and discovered that TEE is using DOP which is a nonbinding trajectory in ADS. We are</w:t>
      </w:r>
      <w:r w:rsidR="00013F60">
        <w:rPr>
          <w:sz w:val="22"/>
          <w:szCs w:val="22"/>
        </w:rPr>
        <w:t xml:space="preserve"> concerned this discrepancy will create invalid penalties when the DOT and DOP diverge during conditions associated with large units ramping up and down for example. NCPA suggests using the DOT in a future release. </w:t>
      </w:r>
    </w:p>
    <w:p w14:paraId="2CBFBF78" w14:textId="77777777" w:rsidR="009516CD" w:rsidRPr="009516CD" w:rsidRDefault="009516CD" w:rsidP="0028116D">
      <w:pPr>
        <w:rPr>
          <w:sz w:val="22"/>
          <w:szCs w:val="22"/>
        </w:rPr>
      </w:pPr>
    </w:p>
    <w:p w14:paraId="4D4E5C7D" w14:textId="16F986E9" w:rsidR="0028116D" w:rsidRPr="009516CD" w:rsidRDefault="009516CD" w:rsidP="0028116D">
      <w:pPr>
        <w:rPr>
          <w:b/>
          <w:sz w:val="22"/>
          <w:szCs w:val="22"/>
        </w:rPr>
      </w:pPr>
      <w:r w:rsidRPr="009516CD">
        <w:rPr>
          <w:b/>
          <w:sz w:val="22"/>
          <w:szCs w:val="22"/>
        </w:rPr>
        <w:t>Dispatch Window Concept:</w:t>
      </w:r>
      <w:r w:rsidR="0028116D" w:rsidRPr="009516CD">
        <w:rPr>
          <w:b/>
          <w:sz w:val="22"/>
          <w:szCs w:val="22"/>
        </w:rPr>
        <w:t xml:space="preserve"> </w:t>
      </w:r>
    </w:p>
    <w:p w14:paraId="3BB60D09" w14:textId="558BD3E0" w:rsidR="0028116D" w:rsidRPr="009516CD" w:rsidRDefault="0028116D" w:rsidP="0028116D">
      <w:pPr>
        <w:rPr>
          <w:sz w:val="22"/>
          <w:szCs w:val="22"/>
        </w:rPr>
      </w:pPr>
    </w:p>
    <w:p w14:paraId="704C1150" w14:textId="57609AB0" w:rsidR="0028116D" w:rsidRPr="009516CD" w:rsidRDefault="0028116D" w:rsidP="0028116D">
      <w:pPr>
        <w:rPr>
          <w:sz w:val="22"/>
          <w:szCs w:val="22"/>
        </w:rPr>
      </w:pPr>
      <w:r w:rsidRPr="009516CD">
        <w:rPr>
          <w:sz w:val="22"/>
          <w:szCs w:val="22"/>
        </w:rPr>
        <w:t>The prior configuration precalc included a flawed “dispatch window” concept but that has been completely removed from this latest version and NCPA is concerned that will allow Non-Dispatch Mode energy to encroach into capacity reserved for load following and ancillary services and we sugge</w:t>
      </w:r>
      <w:r w:rsidR="00942559" w:rsidRPr="009516CD">
        <w:rPr>
          <w:sz w:val="22"/>
          <w:szCs w:val="22"/>
        </w:rPr>
        <w:t>st addressing this using logic from the Market Operations BPM Appendix C.3:</w:t>
      </w:r>
    </w:p>
    <w:p w14:paraId="301B42A2" w14:textId="64C156B3" w:rsidR="00942559" w:rsidRPr="009516CD" w:rsidRDefault="00942559" w:rsidP="0028116D">
      <w:pPr>
        <w:rPr>
          <w:sz w:val="22"/>
          <w:szCs w:val="22"/>
        </w:rPr>
      </w:pPr>
    </w:p>
    <w:p w14:paraId="6827EDC9" w14:textId="11C17ACB" w:rsidR="00942559" w:rsidRPr="009516CD" w:rsidRDefault="00942559" w:rsidP="0028116D">
      <w:pPr>
        <w:rPr>
          <w:sz w:val="22"/>
          <w:szCs w:val="22"/>
        </w:rPr>
      </w:pPr>
      <w:r w:rsidRPr="009516CD">
        <w:rPr>
          <w:noProof/>
          <w:sz w:val="22"/>
          <w:szCs w:val="22"/>
        </w:rPr>
        <w:lastRenderedPageBreak/>
        <w:drawing>
          <wp:inline distT="0" distB="0" distL="0" distR="0" wp14:anchorId="71C0C8AD" wp14:editId="7C126651">
            <wp:extent cx="5931535" cy="350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1535" cy="3506470"/>
                    </a:xfrm>
                    <a:prstGeom prst="rect">
                      <a:avLst/>
                    </a:prstGeom>
                    <a:noFill/>
                    <a:ln>
                      <a:noFill/>
                    </a:ln>
                  </pic:spPr>
                </pic:pic>
              </a:graphicData>
            </a:graphic>
          </wp:inline>
        </w:drawing>
      </w:r>
    </w:p>
    <w:p w14:paraId="46906A07" w14:textId="76B9AACD" w:rsidR="00942559" w:rsidRPr="009516CD" w:rsidRDefault="00942559" w:rsidP="0028116D">
      <w:pPr>
        <w:rPr>
          <w:sz w:val="22"/>
          <w:szCs w:val="22"/>
        </w:rPr>
      </w:pPr>
    </w:p>
    <w:p w14:paraId="4BDA77AD" w14:textId="61F6AB3F" w:rsidR="00942559" w:rsidRPr="009516CD" w:rsidRDefault="00942559" w:rsidP="0028116D">
      <w:pPr>
        <w:rPr>
          <w:sz w:val="22"/>
          <w:szCs w:val="22"/>
        </w:rPr>
      </w:pPr>
      <w:r w:rsidRPr="009516CD">
        <w:rPr>
          <w:sz w:val="22"/>
          <w:szCs w:val="22"/>
        </w:rPr>
        <w:t>This will help prevent CAISO from violating Tariff section 30.5.2.5 where it is stated that “the CAISO will not dispatch the resource within the range declared as Load Following capacity, leaving that capacity entirely available for the MSS to dispatch...."</w:t>
      </w:r>
    </w:p>
    <w:p w14:paraId="4F146F7F" w14:textId="5003B8E2" w:rsidR="009516CD" w:rsidRPr="009516CD" w:rsidRDefault="009516CD" w:rsidP="0028116D">
      <w:pPr>
        <w:rPr>
          <w:sz w:val="22"/>
          <w:szCs w:val="22"/>
        </w:rPr>
      </w:pPr>
    </w:p>
    <w:p w14:paraId="39D89C14" w14:textId="7C90FD58" w:rsidR="009516CD" w:rsidRPr="009516CD" w:rsidRDefault="009516CD" w:rsidP="0028116D">
      <w:pPr>
        <w:rPr>
          <w:b/>
          <w:sz w:val="22"/>
          <w:szCs w:val="22"/>
        </w:rPr>
      </w:pPr>
      <w:r w:rsidRPr="009516CD">
        <w:rPr>
          <w:b/>
          <w:sz w:val="22"/>
          <w:szCs w:val="22"/>
        </w:rPr>
        <w:t>Miscellaneous:</w:t>
      </w:r>
    </w:p>
    <w:p w14:paraId="3361C001" w14:textId="46AAFDC7" w:rsidR="006351CA" w:rsidRPr="009516CD" w:rsidRDefault="006351CA" w:rsidP="006351CA">
      <w:pPr>
        <w:rPr>
          <w:sz w:val="22"/>
          <w:szCs w:val="22"/>
        </w:rPr>
      </w:pPr>
    </w:p>
    <w:p w14:paraId="7E40C779" w14:textId="64967701" w:rsidR="006351CA" w:rsidRPr="009516CD" w:rsidRDefault="006351CA" w:rsidP="006351CA">
      <w:pPr>
        <w:rPr>
          <w:sz w:val="22"/>
          <w:szCs w:val="22"/>
        </w:rPr>
      </w:pPr>
      <w:r w:rsidRPr="009516CD">
        <w:rPr>
          <w:sz w:val="22"/>
          <w:szCs w:val="22"/>
        </w:rPr>
        <w:t xml:space="preserve">Lastly, while this statement is not part of the </w:t>
      </w:r>
      <w:r w:rsidR="00F654F4" w:rsidRPr="009516CD">
        <w:rPr>
          <w:sz w:val="22"/>
          <w:szCs w:val="22"/>
        </w:rPr>
        <w:t>proposed</w:t>
      </w:r>
      <w:r w:rsidRPr="009516CD">
        <w:rPr>
          <w:sz w:val="22"/>
          <w:szCs w:val="22"/>
        </w:rPr>
        <w:t xml:space="preserve"> revision, NCPA requests that CAISO make a clarification by modifying the following statement from:</w:t>
      </w:r>
    </w:p>
    <w:p w14:paraId="500B8994" w14:textId="77777777" w:rsidR="006351CA" w:rsidRPr="009516CD" w:rsidRDefault="006351CA" w:rsidP="006351CA">
      <w:pPr>
        <w:rPr>
          <w:sz w:val="22"/>
          <w:szCs w:val="22"/>
        </w:rPr>
      </w:pPr>
    </w:p>
    <w:p w14:paraId="296C1CFD" w14:textId="77777777" w:rsidR="006351CA" w:rsidRPr="009516CD" w:rsidRDefault="006351CA" w:rsidP="006351CA">
      <w:pPr>
        <w:ind w:left="720"/>
        <w:rPr>
          <w:sz w:val="22"/>
          <w:szCs w:val="22"/>
        </w:rPr>
      </w:pPr>
      <w:r w:rsidRPr="009516CD">
        <w:rPr>
          <w:sz w:val="22"/>
          <w:szCs w:val="22"/>
        </w:rPr>
        <w:t xml:space="preserve">“The Metered Subsystem (MSS) Positive and Negative Deviation Penalty (DP) Settlement charges (CC 1407 and 2407 respectively) are intended to discourage Load Following Metered Subsystems from deviating from their forward schedules and/or any CAISO instructions” </w:t>
      </w:r>
    </w:p>
    <w:p w14:paraId="5171ED85" w14:textId="77777777" w:rsidR="006351CA" w:rsidRPr="009516CD" w:rsidRDefault="006351CA" w:rsidP="006351CA">
      <w:pPr>
        <w:ind w:left="720"/>
        <w:rPr>
          <w:sz w:val="22"/>
          <w:szCs w:val="22"/>
        </w:rPr>
      </w:pPr>
    </w:p>
    <w:p w14:paraId="49B9C6CD" w14:textId="77777777" w:rsidR="006351CA" w:rsidRPr="009516CD" w:rsidRDefault="006351CA" w:rsidP="006351CA">
      <w:pPr>
        <w:ind w:left="720"/>
        <w:rPr>
          <w:sz w:val="22"/>
          <w:szCs w:val="22"/>
        </w:rPr>
      </w:pPr>
      <w:r w:rsidRPr="009516CD">
        <w:rPr>
          <w:sz w:val="22"/>
          <w:szCs w:val="22"/>
        </w:rPr>
        <w:t xml:space="preserve">to </w:t>
      </w:r>
    </w:p>
    <w:p w14:paraId="1AEF4F0C" w14:textId="77777777" w:rsidR="006351CA" w:rsidRPr="009516CD" w:rsidRDefault="006351CA" w:rsidP="006351CA">
      <w:pPr>
        <w:ind w:left="720"/>
        <w:rPr>
          <w:sz w:val="22"/>
          <w:szCs w:val="22"/>
        </w:rPr>
      </w:pPr>
    </w:p>
    <w:p w14:paraId="28D6A8C4" w14:textId="1967632A" w:rsidR="006351CA" w:rsidRPr="009516CD" w:rsidRDefault="006351CA" w:rsidP="006351CA">
      <w:pPr>
        <w:ind w:left="720"/>
        <w:rPr>
          <w:sz w:val="22"/>
          <w:szCs w:val="22"/>
        </w:rPr>
      </w:pPr>
      <w:r w:rsidRPr="009516CD">
        <w:rPr>
          <w:sz w:val="22"/>
          <w:szCs w:val="22"/>
        </w:rPr>
        <w:t>“The Metered Subsystem (MSS) Positive and Negative Deviation Penalty (DP) Settlement charges (CC 1407 and 2407 respectively) are intended to encourage Load Following Metered Subsystems to stay within the MSS Deviation Band.”</w:t>
      </w:r>
    </w:p>
    <w:p w14:paraId="7AFF7087" w14:textId="30673B8B" w:rsidR="006351CA" w:rsidRPr="009516CD" w:rsidRDefault="006351CA" w:rsidP="006351CA">
      <w:pPr>
        <w:ind w:left="720"/>
        <w:rPr>
          <w:sz w:val="22"/>
          <w:szCs w:val="22"/>
        </w:rPr>
      </w:pPr>
    </w:p>
    <w:p w14:paraId="03642309" w14:textId="09D7CF02" w:rsidR="006351CA" w:rsidRPr="009516CD" w:rsidRDefault="004311E2" w:rsidP="006351CA">
      <w:pPr>
        <w:rPr>
          <w:sz w:val="22"/>
          <w:szCs w:val="22"/>
        </w:rPr>
      </w:pPr>
      <w:r w:rsidRPr="009516CD">
        <w:rPr>
          <w:sz w:val="22"/>
          <w:szCs w:val="22"/>
        </w:rPr>
        <w:t xml:space="preserve">NCPA can deviate within Load Following capacity. Regulation up and down signals can also create deviations that do not have forward schedules or deviations. </w:t>
      </w:r>
    </w:p>
    <w:p w14:paraId="372D35D3" w14:textId="77777777" w:rsidR="0028116D" w:rsidRPr="009516CD" w:rsidRDefault="0028116D" w:rsidP="006351CA">
      <w:pPr>
        <w:rPr>
          <w:sz w:val="22"/>
          <w:szCs w:val="22"/>
        </w:rPr>
      </w:pPr>
    </w:p>
    <w:p w14:paraId="69E8C67D" w14:textId="0403B634" w:rsidR="004311E2" w:rsidRPr="009516CD" w:rsidRDefault="00013F60" w:rsidP="006351CA">
      <w:pPr>
        <w:rPr>
          <w:sz w:val="22"/>
          <w:szCs w:val="22"/>
        </w:rPr>
      </w:pPr>
      <w:r>
        <w:rPr>
          <w:sz w:val="22"/>
          <w:szCs w:val="22"/>
        </w:rPr>
        <w:t>NCPA does not expect the</w:t>
      </w:r>
      <w:r w:rsidR="00942559" w:rsidRPr="009516CD">
        <w:rPr>
          <w:sz w:val="22"/>
          <w:szCs w:val="22"/>
        </w:rPr>
        <w:t xml:space="preserve"> concerns </w:t>
      </w:r>
      <w:r>
        <w:rPr>
          <w:sz w:val="22"/>
          <w:szCs w:val="22"/>
        </w:rPr>
        <w:t xml:space="preserve">listed above </w:t>
      </w:r>
      <w:r w:rsidR="00942559" w:rsidRPr="009516CD">
        <w:rPr>
          <w:sz w:val="22"/>
          <w:szCs w:val="22"/>
        </w:rPr>
        <w:t xml:space="preserve">to be addressed by May 8, 2019 and is in full support of releasing the proposed changes at that time. </w:t>
      </w:r>
      <w:r w:rsidR="004311E2" w:rsidRPr="009516CD">
        <w:rPr>
          <w:sz w:val="22"/>
          <w:szCs w:val="22"/>
        </w:rPr>
        <w:t xml:space="preserve">NCPA thanks the CAISO for </w:t>
      </w:r>
      <w:r w:rsidR="001A5E5D">
        <w:rPr>
          <w:sz w:val="22"/>
          <w:szCs w:val="22"/>
        </w:rPr>
        <w:t xml:space="preserve">submitting the </w:t>
      </w:r>
      <w:r w:rsidR="004311E2" w:rsidRPr="009516CD">
        <w:rPr>
          <w:sz w:val="22"/>
          <w:szCs w:val="22"/>
        </w:rPr>
        <w:t xml:space="preserve">PRR and looks forward to continue working with CAISO to resolve penalties from invalid deviations due to the PRR deficiencies listed </w:t>
      </w:r>
      <w:r w:rsidR="00942559" w:rsidRPr="009516CD">
        <w:rPr>
          <w:sz w:val="22"/>
          <w:szCs w:val="22"/>
        </w:rPr>
        <w:t>above</w:t>
      </w:r>
      <w:r w:rsidR="004311E2" w:rsidRPr="009516CD">
        <w:rPr>
          <w:sz w:val="22"/>
          <w:szCs w:val="22"/>
        </w:rPr>
        <w:t xml:space="preserve"> as well as continuing to improve the configuration </w:t>
      </w:r>
      <w:r w:rsidR="001A5E5D">
        <w:rPr>
          <w:sz w:val="22"/>
          <w:szCs w:val="22"/>
        </w:rPr>
        <w:t>and</w:t>
      </w:r>
      <w:r>
        <w:rPr>
          <w:sz w:val="22"/>
          <w:szCs w:val="22"/>
        </w:rPr>
        <w:t xml:space="preserve"> arrive at a</w:t>
      </w:r>
      <w:r w:rsidR="001A5E5D">
        <w:rPr>
          <w:sz w:val="22"/>
          <w:szCs w:val="22"/>
        </w:rPr>
        <w:t xml:space="preserve"> truly</w:t>
      </w:r>
      <w:bookmarkStart w:id="0" w:name="_GoBack"/>
      <w:bookmarkEnd w:id="0"/>
      <w:r>
        <w:rPr>
          <w:sz w:val="22"/>
          <w:szCs w:val="22"/>
        </w:rPr>
        <w:t xml:space="preserve"> holistic solution. </w:t>
      </w:r>
    </w:p>
    <w:sectPr w:rsidR="004311E2" w:rsidRPr="009516CD" w:rsidSect="00EC07EF">
      <w:headerReference w:type="even" r:id="rId16"/>
      <w:headerReference w:type="default" r:id="rId17"/>
      <w:footerReference w:type="even" r:id="rId18"/>
      <w:footerReference w:type="default" r:id="rId19"/>
      <w:headerReference w:type="first" r:id="rId20"/>
      <w:footerReference w:type="first" r:id="rId21"/>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7292" w14:textId="77777777" w:rsidR="00E538B6" w:rsidRDefault="00E538B6">
      <w:r>
        <w:separator/>
      </w:r>
    </w:p>
  </w:endnote>
  <w:endnote w:type="continuationSeparator" w:id="0">
    <w:p w14:paraId="16ACABE6" w14:textId="77777777" w:rsidR="00E538B6" w:rsidRDefault="00E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11B3" w14:textId="77777777" w:rsidR="006047E6" w:rsidRDefault="0060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C97F" w14:textId="126A6FC6" w:rsidR="00796AFA" w:rsidRDefault="00796AFA" w:rsidP="00EC07EF">
    <w:pPr>
      <w:pStyle w:val="Footer"/>
      <w:tabs>
        <w:tab w:val="clear" w:pos="8640"/>
        <w:tab w:val="right" w:pos="9810"/>
      </w:tabs>
    </w:pPr>
    <w:r>
      <w:tab/>
      <w:t xml:space="preserve">Page </w:t>
    </w:r>
    <w:r>
      <w:fldChar w:fldCharType="begin"/>
    </w:r>
    <w:r>
      <w:instrText xml:space="preserve"> PAGE   \* MERGEFORMAT </w:instrText>
    </w:r>
    <w:r>
      <w:fldChar w:fldCharType="separate"/>
    </w:r>
    <w:r w:rsidR="00D8002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71BB" w14:textId="77777777" w:rsidR="006047E6" w:rsidRDefault="0060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F641" w14:textId="77777777" w:rsidR="00E538B6" w:rsidRDefault="00E538B6">
      <w:r>
        <w:separator/>
      </w:r>
    </w:p>
  </w:footnote>
  <w:footnote w:type="continuationSeparator" w:id="0">
    <w:p w14:paraId="60937D67" w14:textId="77777777" w:rsidR="00E538B6" w:rsidRDefault="00E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2189" w14:textId="77777777" w:rsidR="006047E6" w:rsidRDefault="0060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9775" w14:textId="683FB411" w:rsidR="006047E6" w:rsidRDefault="0060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9116" w14:textId="77777777" w:rsidR="006047E6" w:rsidRDefault="0060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041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E3647"/>
    <w:multiLevelType w:val="hybridMultilevel"/>
    <w:tmpl w:val="0B00722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16B25CB6"/>
    <w:multiLevelType w:val="hybridMultilevel"/>
    <w:tmpl w:val="0B52B9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F3E17"/>
    <w:multiLevelType w:val="hybridMultilevel"/>
    <w:tmpl w:val="F1528B9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2861BD8">
      <w:start w:val="4"/>
      <w:numFmt w:val="decimal"/>
      <w:lvlText w:val="%3."/>
      <w:lvlJc w:val="left"/>
      <w:pPr>
        <w:tabs>
          <w:tab w:val="num" w:pos="2340"/>
        </w:tabs>
        <w:ind w:left="2340" w:hanging="360"/>
      </w:pPr>
      <w:rPr>
        <w:rFonts w:ascii="Arial" w:hAnsi="Arial" w:cs="Arial" w:hint="default"/>
        <w:color w:val="0000FF"/>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9197E"/>
    <w:multiLevelType w:val="hybridMultilevel"/>
    <w:tmpl w:val="79506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6273A"/>
    <w:multiLevelType w:val="hybridMultilevel"/>
    <w:tmpl w:val="F7784016"/>
    <w:lvl w:ilvl="0" w:tplc="96222B6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432C02"/>
    <w:multiLevelType w:val="hybridMultilevel"/>
    <w:tmpl w:val="6D0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A752A"/>
    <w:multiLevelType w:val="hybridMultilevel"/>
    <w:tmpl w:val="42A4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93A5F"/>
    <w:multiLevelType w:val="hybridMultilevel"/>
    <w:tmpl w:val="938E1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530E2"/>
    <w:multiLevelType w:val="hybridMultilevel"/>
    <w:tmpl w:val="2E68A7BE"/>
    <w:lvl w:ilvl="0" w:tplc="0409000F">
      <w:start w:val="1"/>
      <w:numFmt w:val="decimal"/>
      <w:lvlText w:val="%1."/>
      <w:lvlJc w:val="left"/>
      <w:pPr>
        <w:tabs>
          <w:tab w:val="num" w:pos="720"/>
        </w:tabs>
        <w:ind w:left="720" w:hanging="360"/>
      </w:pPr>
      <w:rPr>
        <w:rFonts w:hint="default"/>
      </w:rPr>
    </w:lvl>
    <w:lvl w:ilvl="1" w:tplc="831083C6">
      <w:start w:val="51"/>
      <w:numFmt w:val="bullet"/>
      <w:lvlText w:val="•"/>
      <w:lvlJc w:val="left"/>
      <w:pPr>
        <w:tabs>
          <w:tab w:val="num" w:pos="1440"/>
        </w:tabs>
        <w:ind w:left="1440" w:hanging="360"/>
      </w:pPr>
      <w:rPr>
        <w:rFonts w:ascii="Times New Roman" w:hAnsi="Times New Roman" w:hint="default"/>
      </w:rPr>
    </w:lvl>
    <w:lvl w:ilvl="2" w:tplc="C7C8C984" w:tentative="1">
      <w:start w:val="1"/>
      <w:numFmt w:val="bullet"/>
      <w:lvlText w:val="•"/>
      <w:lvlJc w:val="left"/>
      <w:pPr>
        <w:tabs>
          <w:tab w:val="num" w:pos="2160"/>
        </w:tabs>
        <w:ind w:left="2160" w:hanging="360"/>
      </w:pPr>
      <w:rPr>
        <w:rFonts w:ascii="Times New Roman" w:hAnsi="Times New Roman" w:hint="default"/>
      </w:rPr>
    </w:lvl>
    <w:lvl w:ilvl="3" w:tplc="82767054" w:tentative="1">
      <w:start w:val="1"/>
      <w:numFmt w:val="bullet"/>
      <w:lvlText w:val="•"/>
      <w:lvlJc w:val="left"/>
      <w:pPr>
        <w:tabs>
          <w:tab w:val="num" w:pos="2880"/>
        </w:tabs>
        <w:ind w:left="2880" w:hanging="360"/>
      </w:pPr>
      <w:rPr>
        <w:rFonts w:ascii="Times New Roman" w:hAnsi="Times New Roman" w:hint="default"/>
      </w:rPr>
    </w:lvl>
    <w:lvl w:ilvl="4" w:tplc="BFD02B28" w:tentative="1">
      <w:start w:val="1"/>
      <w:numFmt w:val="bullet"/>
      <w:lvlText w:val="•"/>
      <w:lvlJc w:val="left"/>
      <w:pPr>
        <w:tabs>
          <w:tab w:val="num" w:pos="3600"/>
        </w:tabs>
        <w:ind w:left="3600" w:hanging="360"/>
      </w:pPr>
      <w:rPr>
        <w:rFonts w:ascii="Times New Roman" w:hAnsi="Times New Roman" w:hint="default"/>
      </w:rPr>
    </w:lvl>
    <w:lvl w:ilvl="5" w:tplc="F20C408C" w:tentative="1">
      <w:start w:val="1"/>
      <w:numFmt w:val="bullet"/>
      <w:lvlText w:val="•"/>
      <w:lvlJc w:val="left"/>
      <w:pPr>
        <w:tabs>
          <w:tab w:val="num" w:pos="4320"/>
        </w:tabs>
        <w:ind w:left="4320" w:hanging="360"/>
      </w:pPr>
      <w:rPr>
        <w:rFonts w:ascii="Times New Roman" w:hAnsi="Times New Roman" w:hint="default"/>
      </w:rPr>
    </w:lvl>
    <w:lvl w:ilvl="6" w:tplc="9AE25568" w:tentative="1">
      <w:start w:val="1"/>
      <w:numFmt w:val="bullet"/>
      <w:lvlText w:val="•"/>
      <w:lvlJc w:val="left"/>
      <w:pPr>
        <w:tabs>
          <w:tab w:val="num" w:pos="5040"/>
        </w:tabs>
        <w:ind w:left="5040" w:hanging="360"/>
      </w:pPr>
      <w:rPr>
        <w:rFonts w:ascii="Times New Roman" w:hAnsi="Times New Roman" w:hint="default"/>
      </w:rPr>
    </w:lvl>
    <w:lvl w:ilvl="7" w:tplc="F12CBFAA" w:tentative="1">
      <w:start w:val="1"/>
      <w:numFmt w:val="bullet"/>
      <w:lvlText w:val="•"/>
      <w:lvlJc w:val="left"/>
      <w:pPr>
        <w:tabs>
          <w:tab w:val="num" w:pos="5760"/>
        </w:tabs>
        <w:ind w:left="5760" w:hanging="360"/>
      </w:pPr>
      <w:rPr>
        <w:rFonts w:ascii="Times New Roman" w:hAnsi="Times New Roman" w:hint="default"/>
      </w:rPr>
    </w:lvl>
    <w:lvl w:ilvl="8" w:tplc="59D6D0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48720CE"/>
    <w:multiLevelType w:val="hybridMultilevel"/>
    <w:tmpl w:val="5C1A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818E2"/>
    <w:multiLevelType w:val="hybridMultilevel"/>
    <w:tmpl w:val="9CEECE86"/>
    <w:lvl w:ilvl="0" w:tplc="81729A6C">
      <w:start w:val="1"/>
      <w:numFmt w:val="decimal"/>
      <w:lvlText w:val="%1."/>
      <w:lvlJc w:val="left"/>
      <w:pPr>
        <w:ind w:left="460" w:hanging="360"/>
      </w:pPr>
      <w:rPr>
        <w:rFonts w:ascii="Calibri" w:eastAsia="Calibri" w:hAnsi="Calibri" w:hint="default"/>
        <w:b/>
        <w:bCs/>
        <w:w w:val="99"/>
        <w:sz w:val="24"/>
        <w:szCs w:val="24"/>
      </w:rPr>
    </w:lvl>
    <w:lvl w:ilvl="1" w:tplc="A8AEA93E">
      <w:start w:val="1"/>
      <w:numFmt w:val="decimal"/>
      <w:lvlText w:val="%2)"/>
      <w:lvlJc w:val="left"/>
      <w:pPr>
        <w:ind w:left="820" w:hanging="360"/>
      </w:pPr>
      <w:rPr>
        <w:rFonts w:ascii="Calibri" w:eastAsia="Calibri" w:hAnsi="Calibri" w:hint="default"/>
        <w:sz w:val="24"/>
        <w:szCs w:val="24"/>
      </w:rPr>
    </w:lvl>
    <w:lvl w:ilvl="2" w:tplc="37D4345C">
      <w:start w:val="1"/>
      <w:numFmt w:val="bullet"/>
      <w:lvlText w:val=""/>
      <w:lvlJc w:val="left"/>
      <w:pPr>
        <w:ind w:left="1200" w:hanging="360"/>
      </w:pPr>
      <w:rPr>
        <w:rFonts w:ascii="Symbol" w:eastAsia="Symbol" w:hAnsi="Symbol" w:hint="default"/>
        <w:sz w:val="24"/>
        <w:szCs w:val="24"/>
      </w:rPr>
    </w:lvl>
    <w:lvl w:ilvl="3" w:tplc="0CF20050">
      <w:start w:val="1"/>
      <w:numFmt w:val="bullet"/>
      <w:lvlText w:val="•"/>
      <w:lvlJc w:val="left"/>
      <w:pPr>
        <w:ind w:left="1200" w:hanging="360"/>
      </w:pPr>
      <w:rPr>
        <w:rFonts w:hint="default"/>
      </w:rPr>
    </w:lvl>
    <w:lvl w:ilvl="4" w:tplc="5478FE90">
      <w:start w:val="1"/>
      <w:numFmt w:val="bullet"/>
      <w:lvlText w:val="•"/>
      <w:lvlJc w:val="left"/>
      <w:pPr>
        <w:ind w:left="2397" w:hanging="360"/>
      </w:pPr>
      <w:rPr>
        <w:rFonts w:hint="default"/>
      </w:rPr>
    </w:lvl>
    <w:lvl w:ilvl="5" w:tplc="9AECFE44">
      <w:start w:val="1"/>
      <w:numFmt w:val="bullet"/>
      <w:lvlText w:val="•"/>
      <w:lvlJc w:val="left"/>
      <w:pPr>
        <w:ind w:left="3594" w:hanging="360"/>
      </w:pPr>
      <w:rPr>
        <w:rFonts w:hint="default"/>
      </w:rPr>
    </w:lvl>
    <w:lvl w:ilvl="6" w:tplc="0B6692A4">
      <w:start w:val="1"/>
      <w:numFmt w:val="bullet"/>
      <w:lvlText w:val="•"/>
      <w:lvlJc w:val="left"/>
      <w:pPr>
        <w:ind w:left="4791" w:hanging="360"/>
      </w:pPr>
      <w:rPr>
        <w:rFonts w:hint="default"/>
      </w:rPr>
    </w:lvl>
    <w:lvl w:ilvl="7" w:tplc="4118BF92">
      <w:start w:val="1"/>
      <w:numFmt w:val="bullet"/>
      <w:lvlText w:val="•"/>
      <w:lvlJc w:val="left"/>
      <w:pPr>
        <w:ind w:left="5988" w:hanging="360"/>
      </w:pPr>
      <w:rPr>
        <w:rFonts w:hint="default"/>
      </w:rPr>
    </w:lvl>
    <w:lvl w:ilvl="8" w:tplc="DD0EE270">
      <w:start w:val="1"/>
      <w:numFmt w:val="bullet"/>
      <w:lvlText w:val="•"/>
      <w:lvlJc w:val="left"/>
      <w:pPr>
        <w:ind w:left="7185" w:hanging="360"/>
      </w:pPr>
      <w:rPr>
        <w:rFonts w:hint="default"/>
      </w:rPr>
    </w:lvl>
  </w:abstractNum>
  <w:abstractNum w:abstractNumId="12" w15:restartNumberingAfterBreak="0">
    <w:nsid w:val="51C81A49"/>
    <w:multiLevelType w:val="hybridMultilevel"/>
    <w:tmpl w:val="B82622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91694"/>
    <w:multiLevelType w:val="hybridMultilevel"/>
    <w:tmpl w:val="BECC0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15D33"/>
    <w:multiLevelType w:val="hybridMultilevel"/>
    <w:tmpl w:val="7C4CD7D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C7888"/>
    <w:multiLevelType w:val="hybridMultilevel"/>
    <w:tmpl w:val="AC108268"/>
    <w:lvl w:ilvl="0" w:tplc="04090001">
      <w:start w:val="1"/>
      <w:numFmt w:val="bullet"/>
      <w:lvlText w:val=""/>
      <w:lvlJc w:val="left"/>
      <w:pPr>
        <w:tabs>
          <w:tab w:val="num" w:pos="720"/>
        </w:tabs>
        <w:ind w:left="720" w:hanging="360"/>
      </w:pPr>
      <w:rPr>
        <w:rFonts w:ascii="Symbol" w:hAnsi="Symbol" w:hint="default"/>
      </w:rPr>
    </w:lvl>
    <w:lvl w:ilvl="1" w:tplc="831083C6">
      <w:start w:val="51"/>
      <w:numFmt w:val="bullet"/>
      <w:lvlText w:val="•"/>
      <w:lvlJc w:val="left"/>
      <w:pPr>
        <w:tabs>
          <w:tab w:val="num" w:pos="1440"/>
        </w:tabs>
        <w:ind w:left="1440" w:hanging="360"/>
      </w:pPr>
      <w:rPr>
        <w:rFonts w:ascii="Times New Roman" w:hAnsi="Times New Roman" w:hint="default"/>
      </w:rPr>
    </w:lvl>
    <w:lvl w:ilvl="2" w:tplc="C7C8C984" w:tentative="1">
      <w:start w:val="1"/>
      <w:numFmt w:val="bullet"/>
      <w:lvlText w:val="•"/>
      <w:lvlJc w:val="left"/>
      <w:pPr>
        <w:tabs>
          <w:tab w:val="num" w:pos="2160"/>
        </w:tabs>
        <w:ind w:left="2160" w:hanging="360"/>
      </w:pPr>
      <w:rPr>
        <w:rFonts w:ascii="Times New Roman" w:hAnsi="Times New Roman" w:hint="default"/>
      </w:rPr>
    </w:lvl>
    <w:lvl w:ilvl="3" w:tplc="82767054" w:tentative="1">
      <w:start w:val="1"/>
      <w:numFmt w:val="bullet"/>
      <w:lvlText w:val="•"/>
      <w:lvlJc w:val="left"/>
      <w:pPr>
        <w:tabs>
          <w:tab w:val="num" w:pos="2880"/>
        </w:tabs>
        <w:ind w:left="2880" w:hanging="360"/>
      </w:pPr>
      <w:rPr>
        <w:rFonts w:ascii="Times New Roman" w:hAnsi="Times New Roman" w:hint="default"/>
      </w:rPr>
    </w:lvl>
    <w:lvl w:ilvl="4" w:tplc="BFD02B28" w:tentative="1">
      <w:start w:val="1"/>
      <w:numFmt w:val="bullet"/>
      <w:lvlText w:val="•"/>
      <w:lvlJc w:val="left"/>
      <w:pPr>
        <w:tabs>
          <w:tab w:val="num" w:pos="3600"/>
        </w:tabs>
        <w:ind w:left="3600" w:hanging="360"/>
      </w:pPr>
      <w:rPr>
        <w:rFonts w:ascii="Times New Roman" w:hAnsi="Times New Roman" w:hint="default"/>
      </w:rPr>
    </w:lvl>
    <w:lvl w:ilvl="5" w:tplc="F20C408C" w:tentative="1">
      <w:start w:val="1"/>
      <w:numFmt w:val="bullet"/>
      <w:lvlText w:val="•"/>
      <w:lvlJc w:val="left"/>
      <w:pPr>
        <w:tabs>
          <w:tab w:val="num" w:pos="4320"/>
        </w:tabs>
        <w:ind w:left="4320" w:hanging="360"/>
      </w:pPr>
      <w:rPr>
        <w:rFonts w:ascii="Times New Roman" w:hAnsi="Times New Roman" w:hint="default"/>
      </w:rPr>
    </w:lvl>
    <w:lvl w:ilvl="6" w:tplc="9AE25568" w:tentative="1">
      <w:start w:val="1"/>
      <w:numFmt w:val="bullet"/>
      <w:lvlText w:val="•"/>
      <w:lvlJc w:val="left"/>
      <w:pPr>
        <w:tabs>
          <w:tab w:val="num" w:pos="5040"/>
        </w:tabs>
        <w:ind w:left="5040" w:hanging="360"/>
      </w:pPr>
      <w:rPr>
        <w:rFonts w:ascii="Times New Roman" w:hAnsi="Times New Roman" w:hint="default"/>
      </w:rPr>
    </w:lvl>
    <w:lvl w:ilvl="7" w:tplc="F12CBFAA" w:tentative="1">
      <w:start w:val="1"/>
      <w:numFmt w:val="bullet"/>
      <w:lvlText w:val="•"/>
      <w:lvlJc w:val="left"/>
      <w:pPr>
        <w:tabs>
          <w:tab w:val="num" w:pos="5760"/>
        </w:tabs>
        <w:ind w:left="5760" w:hanging="360"/>
      </w:pPr>
      <w:rPr>
        <w:rFonts w:ascii="Times New Roman" w:hAnsi="Times New Roman" w:hint="default"/>
      </w:rPr>
    </w:lvl>
    <w:lvl w:ilvl="8" w:tplc="59D6D0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1285A1C"/>
    <w:multiLevelType w:val="hybridMultilevel"/>
    <w:tmpl w:val="B4E8A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94BE5"/>
    <w:multiLevelType w:val="hybridMultilevel"/>
    <w:tmpl w:val="241E17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91FD9"/>
    <w:multiLevelType w:val="hybridMultilevel"/>
    <w:tmpl w:val="0F9AE7B8"/>
    <w:lvl w:ilvl="0" w:tplc="B36CC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963E3"/>
    <w:multiLevelType w:val="multilevel"/>
    <w:tmpl w:val="06D0B832"/>
    <w:lvl w:ilvl="0">
      <w:start w:val="2"/>
      <w:numFmt w:val="decimal"/>
      <w:lvlText w:val="%1"/>
      <w:lvlJc w:val="left"/>
      <w:pPr>
        <w:ind w:left="640" w:hanging="360"/>
      </w:pPr>
      <w:rPr>
        <w:rFonts w:hint="default"/>
      </w:rPr>
    </w:lvl>
    <w:lvl w:ilvl="1">
      <w:start w:val="1"/>
      <w:numFmt w:val="decimal"/>
      <w:lvlText w:val="%1.%2"/>
      <w:lvlJc w:val="left"/>
      <w:pPr>
        <w:ind w:left="640" w:hanging="360"/>
      </w:pPr>
      <w:rPr>
        <w:rFonts w:ascii="Calibri" w:eastAsia="Calibri" w:hAnsi="Calibri" w:hint="default"/>
        <w:b/>
        <w:bCs/>
        <w:w w:val="99"/>
        <w:sz w:val="24"/>
        <w:szCs w:val="24"/>
      </w:rPr>
    </w:lvl>
    <w:lvl w:ilvl="2">
      <w:start w:val="1"/>
      <w:numFmt w:val="decimal"/>
      <w:lvlText w:val="%3."/>
      <w:lvlJc w:val="left"/>
      <w:pPr>
        <w:ind w:left="820" w:hanging="360"/>
      </w:pPr>
      <w:rPr>
        <w:rFonts w:ascii="Calibri" w:eastAsia="Calibri" w:hAnsi="Calibri" w:hint="default"/>
        <w:sz w:val="24"/>
        <w:szCs w:val="24"/>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num w:numId="1">
    <w:abstractNumId w:val="12"/>
  </w:num>
  <w:num w:numId="2">
    <w:abstractNumId w:val="3"/>
  </w:num>
  <w:num w:numId="3">
    <w:abstractNumId w:val="5"/>
  </w:num>
  <w:num w:numId="4">
    <w:abstractNumId w:val="13"/>
  </w:num>
  <w:num w:numId="5">
    <w:abstractNumId w:val="14"/>
  </w:num>
  <w:num w:numId="6">
    <w:abstractNumId w:val="6"/>
  </w:num>
  <w:num w:numId="7">
    <w:abstractNumId w:val="8"/>
  </w:num>
  <w:num w:numId="8">
    <w:abstractNumId w:val="0"/>
  </w:num>
  <w:num w:numId="9">
    <w:abstractNumId w:val="11"/>
  </w:num>
  <w:num w:numId="10">
    <w:abstractNumId w:val="19"/>
  </w:num>
  <w:num w:numId="11">
    <w:abstractNumId w:val="18"/>
  </w:num>
  <w:num w:numId="12">
    <w:abstractNumId w:val="2"/>
  </w:num>
  <w:num w:numId="13">
    <w:abstractNumId w:val="1"/>
  </w:num>
  <w:num w:numId="14">
    <w:abstractNumId w:val="15"/>
  </w:num>
  <w:num w:numId="15">
    <w:abstractNumId w:val="7"/>
  </w:num>
  <w:num w:numId="16">
    <w:abstractNumId w:val="9"/>
  </w:num>
  <w:num w:numId="17">
    <w:abstractNumId w:val="10"/>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4258947-f75c-4431-9597-1abd9f95de4e"/>
  </w:docVars>
  <w:rsids>
    <w:rsidRoot w:val="009062C7"/>
    <w:rsid w:val="000066F2"/>
    <w:rsid w:val="00013F60"/>
    <w:rsid w:val="00036F0B"/>
    <w:rsid w:val="00052D62"/>
    <w:rsid w:val="00056DC2"/>
    <w:rsid w:val="00073488"/>
    <w:rsid w:val="0008166A"/>
    <w:rsid w:val="00091D77"/>
    <w:rsid w:val="00093300"/>
    <w:rsid w:val="00095951"/>
    <w:rsid w:val="00095F23"/>
    <w:rsid w:val="000B4729"/>
    <w:rsid w:val="000B670C"/>
    <w:rsid w:val="000C35C3"/>
    <w:rsid w:val="000C3EB4"/>
    <w:rsid w:val="000E363B"/>
    <w:rsid w:val="000F756F"/>
    <w:rsid w:val="00101B5A"/>
    <w:rsid w:val="00126166"/>
    <w:rsid w:val="00132466"/>
    <w:rsid w:val="00133AD6"/>
    <w:rsid w:val="001366B3"/>
    <w:rsid w:val="00145616"/>
    <w:rsid w:val="00145ED5"/>
    <w:rsid w:val="00146447"/>
    <w:rsid w:val="0014798F"/>
    <w:rsid w:val="001552CB"/>
    <w:rsid w:val="0015586E"/>
    <w:rsid w:val="00165133"/>
    <w:rsid w:val="001667D9"/>
    <w:rsid w:val="00167582"/>
    <w:rsid w:val="001755FC"/>
    <w:rsid w:val="001912B1"/>
    <w:rsid w:val="001929AC"/>
    <w:rsid w:val="00195FAA"/>
    <w:rsid w:val="001A5E5D"/>
    <w:rsid w:val="001A5FAF"/>
    <w:rsid w:val="001B40EB"/>
    <w:rsid w:val="001B494E"/>
    <w:rsid w:val="001C2020"/>
    <w:rsid w:val="001C25F2"/>
    <w:rsid w:val="001D25CF"/>
    <w:rsid w:val="001D282A"/>
    <w:rsid w:val="001E3E66"/>
    <w:rsid w:val="00202593"/>
    <w:rsid w:val="0020364C"/>
    <w:rsid w:val="00213813"/>
    <w:rsid w:val="002205D0"/>
    <w:rsid w:val="00227E7B"/>
    <w:rsid w:val="00234482"/>
    <w:rsid w:val="002428B1"/>
    <w:rsid w:val="002554A8"/>
    <w:rsid w:val="00265668"/>
    <w:rsid w:val="0026587C"/>
    <w:rsid w:val="00266E51"/>
    <w:rsid w:val="00267050"/>
    <w:rsid w:val="002721BC"/>
    <w:rsid w:val="0028116D"/>
    <w:rsid w:val="002A242C"/>
    <w:rsid w:val="002A5193"/>
    <w:rsid w:val="002A757F"/>
    <w:rsid w:val="002C5028"/>
    <w:rsid w:val="002C5A1C"/>
    <w:rsid w:val="002D3514"/>
    <w:rsid w:val="002E5717"/>
    <w:rsid w:val="002E7DBB"/>
    <w:rsid w:val="002F7DB0"/>
    <w:rsid w:val="003016AC"/>
    <w:rsid w:val="003017E7"/>
    <w:rsid w:val="003020C9"/>
    <w:rsid w:val="003148CD"/>
    <w:rsid w:val="00314E03"/>
    <w:rsid w:val="003227BF"/>
    <w:rsid w:val="00324FF8"/>
    <w:rsid w:val="00333F4D"/>
    <w:rsid w:val="003342AB"/>
    <w:rsid w:val="00340DA7"/>
    <w:rsid w:val="00340FA1"/>
    <w:rsid w:val="00354286"/>
    <w:rsid w:val="00374B9E"/>
    <w:rsid w:val="003770A2"/>
    <w:rsid w:val="003853A5"/>
    <w:rsid w:val="00386A78"/>
    <w:rsid w:val="00387D99"/>
    <w:rsid w:val="0039495E"/>
    <w:rsid w:val="00395D53"/>
    <w:rsid w:val="003B5D22"/>
    <w:rsid w:val="003B6EA7"/>
    <w:rsid w:val="003C266F"/>
    <w:rsid w:val="003D0CD6"/>
    <w:rsid w:val="003D63B4"/>
    <w:rsid w:val="003D750A"/>
    <w:rsid w:val="003E0055"/>
    <w:rsid w:val="003E0153"/>
    <w:rsid w:val="003E07C3"/>
    <w:rsid w:val="003F0461"/>
    <w:rsid w:val="003F6630"/>
    <w:rsid w:val="003F6BAC"/>
    <w:rsid w:val="00400164"/>
    <w:rsid w:val="00413F8D"/>
    <w:rsid w:val="004212BD"/>
    <w:rsid w:val="004311E2"/>
    <w:rsid w:val="00444AE9"/>
    <w:rsid w:val="00475BC2"/>
    <w:rsid w:val="00497C9E"/>
    <w:rsid w:val="004B1EC1"/>
    <w:rsid w:val="004B7419"/>
    <w:rsid w:val="004C157F"/>
    <w:rsid w:val="004D0EC3"/>
    <w:rsid w:val="004D50E1"/>
    <w:rsid w:val="004D73D0"/>
    <w:rsid w:val="004E57CD"/>
    <w:rsid w:val="004F30CC"/>
    <w:rsid w:val="004F3593"/>
    <w:rsid w:val="005067DB"/>
    <w:rsid w:val="00511AC4"/>
    <w:rsid w:val="00514944"/>
    <w:rsid w:val="00516949"/>
    <w:rsid w:val="005201E7"/>
    <w:rsid w:val="00531AB0"/>
    <w:rsid w:val="005330C2"/>
    <w:rsid w:val="005342F6"/>
    <w:rsid w:val="0055433C"/>
    <w:rsid w:val="00565E9E"/>
    <w:rsid w:val="00566375"/>
    <w:rsid w:val="005761EC"/>
    <w:rsid w:val="00577759"/>
    <w:rsid w:val="00580504"/>
    <w:rsid w:val="005B29E3"/>
    <w:rsid w:val="005B2D98"/>
    <w:rsid w:val="005B676A"/>
    <w:rsid w:val="005C3DA2"/>
    <w:rsid w:val="005D3287"/>
    <w:rsid w:val="005D5511"/>
    <w:rsid w:val="005D6A75"/>
    <w:rsid w:val="005E7E4A"/>
    <w:rsid w:val="005F47FF"/>
    <w:rsid w:val="006047E6"/>
    <w:rsid w:val="00604E6A"/>
    <w:rsid w:val="00605A43"/>
    <w:rsid w:val="00606A96"/>
    <w:rsid w:val="00613C19"/>
    <w:rsid w:val="00614323"/>
    <w:rsid w:val="00617CC3"/>
    <w:rsid w:val="006211D6"/>
    <w:rsid w:val="00622337"/>
    <w:rsid w:val="00622BFB"/>
    <w:rsid w:val="006351CA"/>
    <w:rsid w:val="00644345"/>
    <w:rsid w:val="00654A98"/>
    <w:rsid w:val="00674A24"/>
    <w:rsid w:val="00691826"/>
    <w:rsid w:val="00693D81"/>
    <w:rsid w:val="006A20DA"/>
    <w:rsid w:val="006A3D0E"/>
    <w:rsid w:val="006A61AD"/>
    <w:rsid w:val="006A6D72"/>
    <w:rsid w:val="006B2848"/>
    <w:rsid w:val="006C6762"/>
    <w:rsid w:val="006C779F"/>
    <w:rsid w:val="006E6190"/>
    <w:rsid w:val="006F1AD6"/>
    <w:rsid w:val="006F1FFC"/>
    <w:rsid w:val="00704B34"/>
    <w:rsid w:val="007072FB"/>
    <w:rsid w:val="00712FD3"/>
    <w:rsid w:val="00723264"/>
    <w:rsid w:val="00724F6A"/>
    <w:rsid w:val="0073241C"/>
    <w:rsid w:val="00733909"/>
    <w:rsid w:val="00741D0C"/>
    <w:rsid w:val="007441DB"/>
    <w:rsid w:val="00745896"/>
    <w:rsid w:val="00747B50"/>
    <w:rsid w:val="007536D5"/>
    <w:rsid w:val="00762C18"/>
    <w:rsid w:val="00771602"/>
    <w:rsid w:val="00776F71"/>
    <w:rsid w:val="00783271"/>
    <w:rsid w:val="00783F2D"/>
    <w:rsid w:val="00796AFA"/>
    <w:rsid w:val="007A556F"/>
    <w:rsid w:val="007B2B83"/>
    <w:rsid w:val="007C1BBB"/>
    <w:rsid w:val="007C5248"/>
    <w:rsid w:val="007C75B4"/>
    <w:rsid w:val="007E3286"/>
    <w:rsid w:val="007F5797"/>
    <w:rsid w:val="00820AD2"/>
    <w:rsid w:val="00836750"/>
    <w:rsid w:val="00841E1D"/>
    <w:rsid w:val="00846584"/>
    <w:rsid w:val="0084679B"/>
    <w:rsid w:val="00846C54"/>
    <w:rsid w:val="00854F2F"/>
    <w:rsid w:val="00855117"/>
    <w:rsid w:val="00856D77"/>
    <w:rsid w:val="00857097"/>
    <w:rsid w:val="00863DE0"/>
    <w:rsid w:val="00866B3E"/>
    <w:rsid w:val="008739EB"/>
    <w:rsid w:val="008774C4"/>
    <w:rsid w:val="0088120E"/>
    <w:rsid w:val="0089448C"/>
    <w:rsid w:val="008B4826"/>
    <w:rsid w:val="008C412A"/>
    <w:rsid w:val="008E6AC7"/>
    <w:rsid w:val="008F38CE"/>
    <w:rsid w:val="008F519E"/>
    <w:rsid w:val="009004A9"/>
    <w:rsid w:val="009027D8"/>
    <w:rsid w:val="009037CC"/>
    <w:rsid w:val="009062C7"/>
    <w:rsid w:val="009064D5"/>
    <w:rsid w:val="00926CBF"/>
    <w:rsid w:val="00927976"/>
    <w:rsid w:val="00931D27"/>
    <w:rsid w:val="00942559"/>
    <w:rsid w:val="009516CD"/>
    <w:rsid w:val="009528D4"/>
    <w:rsid w:val="009620DD"/>
    <w:rsid w:val="00972220"/>
    <w:rsid w:val="009727A3"/>
    <w:rsid w:val="009821D5"/>
    <w:rsid w:val="009A0561"/>
    <w:rsid w:val="009A7291"/>
    <w:rsid w:val="009B11B2"/>
    <w:rsid w:val="009B259F"/>
    <w:rsid w:val="009B5132"/>
    <w:rsid w:val="009D39BE"/>
    <w:rsid w:val="009D3DCC"/>
    <w:rsid w:val="009D4D6D"/>
    <w:rsid w:val="009D6D24"/>
    <w:rsid w:val="009F186C"/>
    <w:rsid w:val="009F25EB"/>
    <w:rsid w:val="009F6A25"/>
    <w:rsid w:val="00A034A8"/>
    <w:rsid w:val="00A047C8"/>
    <w:rsid w:val="00A049F2"/>
    <w:rsid w:val="00A10D02"/>
    <w:rsid w:val="00A31408"/>
    <w:rsid w:val="00A31A05"/>
    <w:rsid w:val="00A361B4"/>
    <w:rsid w:val="00A4103A"/>
    <w:rsid w:val="00A63C08"/>
    <w:rsid w:val="00A648B7"/>
    <w:rsid w:val="00A65E09"/>
    <w:rsid w:val="00A67657"/>
    <w:rsid w:val="00A71363"/>
    <w:rsid w:val="00A925DA"/>
    <w:rsid w:val="00A941E2"/>
    <w:rsid w:val="00A968DD"/>
    <w:rsid w:val="00AA0449"/>
    <w:rsid w:val="00AA4FE3"/>
    <w:rsid w:val="00AB4E5F"/>
    <w:rsid w:val="00AB4F06"/>
    <w:rsid w:val="00AC734E"/>
    <w:rsid w:val="00AE6BF1"/>
    <w:rsid w:val="00AF05D4"/>
    <w:rsid w:val="00AF2AA8"/>
    <w:rsid w:val="00B00AC0"/>
    <w:rsid w:val="00B0485F"/>
    <w:rsid w:val="00B06A2E"/>
    <w:rsid w:val="00B203F6"/>
    <w:rsid w:val="00B30F13"/>
    <w:rsid w:val="00B326C9"/>
    <w:rsid w:val="00B42133"/>
    <w:rsid w:val="00B42ACF"/>
    <w:rsid w:val="00B43917"/>
    <w:rsid w:val="00B51B78"/>
    <w:rsid w:val="00B55B0D"/>
    <w:rsid w:val="00B6535E"/>
    <w:rsid w:val="00B6573F"/>
    <w:rsid w:val="00B9547B"/>
    <w:rsid w:val="00BB1351"/>
    <w:rsid w:val="00BB2E03"/>
    <w:rsid w:val="00BC3638"/>
    <w:rsid w:val="00BC629D"/>
    <w:rsid w:val="00BD58F9"/>
    <w:rsid w:val="00BE41FB"/>
    <w:rsid w:val="00BE7F4A"/>
    <w:rsid w:val="00BF250B"/>
    <w:rsid w:val="00C047D6"/>
    <w:rsid w:val="00C05D86"/>
    <w:rsid w:val="00C16A8F"/>
    <w:rsid w:val="00C22671"/>
    <w:rsid w:val="00C4611D"/>
    <w:rsid w:val="00C513A1"/>
    <w:rsid w:val="00C530F2"/>
    <w:rsid w:val="00C532C8"/>
    <w:rsid w:val="00C54D57"/>
    <w:rsid w:val="00C7051F"/>
    <w:rsid w:val="00C825A4"/>
    <w:rsid w:val="00C86E58"/>
    <w:rsid w:val="00C9314D"/>
    <w:rsid w:val="00C93B1B"/>
    <w:rsid w:val="00CA0322"/>
    <w:rsid w:val="00CB6FB5"/>
    <w:rsid w:val="00CB77F4"/>
    <w:rsid w:val="00CB7F79"/>
    <w:rsid w:val="00CD1422"/>
    <w:rsid w:val="00CD1B67"/>
    <w:rsid w:val="00CD1E63"/>
    <w:rsid w:val="00CD3AD4"/>
    <w:rsid w:val="00CD7CB1"/>
    <w:rsid w:val="00CE0797"/>
    <w:rsid w:val="00CF0CAB"/>
    <w:rsid w:val="00CF677A"/>
    <w:rsid w:val="00D203B1"/>
    <w:rsid w:val="00D26FCC"/>
    <w:rsid w:val="00D42A15"/>
    <w:rsid w:val="00D5007A"/>
    <w:rsid w:val="00D51DD8"/>
    <w:rsid w:val="00D6132C"/>
    <w:rsid w:val="00D66FE7"/>
    <w:rsid w:val="00D679E3"/>
    <w:rsid w:val="00D80022"/>
    <w:rsid w:val="00D96C13"/>
    <w:rsid w:val="00DB32FF"/>
    <w:rsid w:val="00DB5FE6"/>
    <w:rsid w:val="00DB609E"/>
    <w:rsid w:val="00DB7E0D"/>
    <w:rsid w:val="00DD2F58"/>
    <w:rsid w:val="00DD50AD"/>
    <w:rsid w:val="00DE02E5"/>
    <w:rsid w:val="00DE52BB"/>
    <w:rsid w:val="00DE60B4"/>
    <w:rsid w:val="00E038B9"/>
    <w:rsid w:val="00E1042C"/>
    <w:rsid w:val="00E30AAF"/>
    <w:rsid w:val="00E37D37"/>
    <w:rsid w:val="00E415A3"/>
    <w:rsid w:val="00E538B6"/>
    <w:rsid w:val="00E62229"/>
    <w:rsid w:val="00E679E7"/>
    <w:rsid w:val="00E81A48"/>
    <w:rsid w:val="00E858DC"/>
    <w:rsid w:val="00E91A01"/>
    <w:rsid w:val="00E92D63"/>
    <w:rsid w:val="00E935A3"/>
    <w:rsid w:val="00E961FC"/>
    <w:rsid w:val="00EA2BD4"/>
    <w:rsid w:val="00EA5809"/>
    <w:rsid w:val="00EA6CE0"/>
    <w:rsid w:val="00EA7B46"/>
    <w:rsid w:val="00EB6BE4"/>
    <w:rsid w:val="00EC07EF"/>
    <w:rsid w:val="00EC5CA9"/>
    <w:rsid w:val="00EC632A"/>
    <w:rsid w:val="00ED07EE"/>
    <w:rsid w:val="00ED5030"/>
    <w:rsid w:val="00EE2649"/>
    <w:rsid w:val="00F05A56"/>
    <w:rsid w:val="00F12347"/>
    <w:rsid w:val="00F33CB2"/>
    <w:rsid w:val="00F343D0"/>
    <w:rsid w:val="00F437A4"/>
    <w:rsid w:val="00F4535A"/>
    <w:rsid w:val="00F46DD5"/>
    <w:rsid w:val="00F500D4"/>
    <w:rsid w:val="00F569D0"/>
    <w:rsid w:val="00F56FCA"/>
    <w:rsid w:val="00F610DA"/>
    <w:rsid w:val="00F647E0"/>
    <w:rsid w:val="00F654F4"/>
    <w:rsid w:val="00F67898"/>
    <w:rsid w:val="00F74341"/>
    <w:rsid w:val="00F86262"/>
    <w:rsid w:val="00F866C0"/>
    <w:rsid w:val="00F95E95"/>
    <w:rsid w:val="00FA5FF1"/>
    <w:rsid w:val="00FA6B05"/>
    <w:rsid w:val="00FB2A30"/>
    <w:rsid w:val="00FB5EB6"/>
    <w:rsid w:val="00FC4636"/>
    <w:rsid w:val="00FD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D4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7657"/>
    <w:rPr>
      <w:color w:val="0000FF"/>
      <w:u w:val="single"/>
    </w:rPr>
  </w:style>
  <w:style w:type="paragraph" w:styleId="Header">
    <w:name w:val="header"/>
    <w:basedOn w:val="Normal"/>
    <w:rsid w:val="00C4611D"/>
    <w:pPr>
      <w:tabs>
        <w:tab w:val="center" w:pos="4320"/>
        <w:tab w:val="right" w:pos="8640"/>
      </w:tabs>
    </w:pPr>
  </w:style>
  <w:style w:type="paragraph" w:styleId="Footer">
    <w:name w:val="footer"/>
    <w:basedOn w:val="Normal"/>
    <w:link w:val="FooterChar"/>
    <w:uiPriority w:val="99"/>
    <w:rsid w:val="00C4611D"/>
    <w:pPr>
      <w:tabs>
        <w:tab w:val="center" w:pos="4320"/>
        <w:tab w:val="right" w:pos="8640"/>
      </w:tabs>
    </w:pPr>
  </w:style>
  <w:style w:type="character" w:styleId="PageNumber">
    <w:name w:val="page number"/>
    <w:basedOn w:val="DefaultParagraphFont"/>
    <w:rsid w:val="00C4611D"/>
  </w:style>
  <w:style w:type="paragraph" w:customStyle="1" w:styleId="ColorfulList-Accent11">
    <w:name w:val="Colorful List - Accent 11"/>
    <w:basedOn w:val="Normal"/>
    <w:uiPriority w:val="34"/>
    <w:qFormat/>
    <w:rsid w:val="00EB6BE4"/>
    <w:pPr>
      <w:ind w:left="720"/>
      <w:contextualSpacing/>
    </w:pPr>
  </w:style>
  <w:style w:type="character" w:styleId="CommentReference">
    <w:name w:val="annotation reference"/>
    <w:rsid w:val="004F3593"/>
    <w:rPr>
      <w:sz w:val="16"/>
      <w:szCs w:val="16"/>
    </w:rPr>
  </w:style>
  <w:style w:type="paragraph" w:styleId="CommentText">
    <w:name w:val="annotation text"/>
    <w:basedOn w:val="Normal"/>
    <w:link w:val="CommentTextChar"/>
    <w:uiPriority w:val="99"/>
    <w:rsid w:val="004F3593"/>
    <w:rPr>
      <w:sz w:val="20"/>
      <w:szCs w:val="20"/>
    </w:rPr>
  </w:style>
  <w:style w:type="character" w:customStyle="1" w:styleId="CommentTextChar">
    <w:name w:val="Comment Text Char"/>
    <w:basedOn w:val="DefaultParagraphFont"/>
    <w:link w:val="CommentText"/>
    <w:uiPriority w:val="99"/>
    <w:rsid w:val="004F3593"/>
  </w:style>
  <w:style w:type="paragraph" w:styleId="CommentSubject">
    <w:name w:val="annotation subject"/>
    <w:basedOn w:val="CommentText"/>
    <w:next w:val="CommentText"/>
    <w:link w:val="CommentSubjectChar"/>
    <w:uiPriority w:val="99"/>
    <w:rsid w:val="004F3593"/>
    <w:rPr>
      <w:b/>
      <w:bCs/>
    </w:rPr>
  </w:style>
  <w:style w:type="character" w:customStyle="1" w:styleId="CommentSubjectChar">
    <w:name w:val="Comment Subject Char"/>
    <w:link w:val="CommentSubject"/>
    <w:uiPriority w:val="99"/>
    <w:rsid w:val="004F3593"/>
    <w:rPr>
      <w:b/>
      <w:bCs/>
    </w:rPr>
  </w:style>
  <w:style w:type="paragraph" w:styleId="BalloonText">
    <w:name w:val="Balloon Text"/>
    <w:basedOn w:val="Normal"/>
    <w:link w:val="BalloonTextChar"/>
    <w:rsid w:val="004F3593"/>
    <w:rPr>
      <w:rFonts w:ascii="Tahoma" w:hAnsi="Tahoma" w:cs="Tahoma"/>
      <w:sz w:val="16"/>
      <w:szCs w:val="16"/>
    </w:rPr>
  </w:style>
  <w:style w:type="character" w:customStyle="1" w:styleId="BalloonTextChar">
    <w:name w:val="Balloon Text Char"/>
    <w:link w:val="BalloonText"/>
    <w:rsid w:val="004F3593"/>
    <w:rPr>
      <w:rFonts w:ascii="Tahoma" w:hAnsi="Tahoma" w:cs="Tahoma"/>
      <w:sz w:val="16"/>
      <w:szCs w:val="16"/>
    </w:rPr>
  </w:style>
  <w:style w:type="paragraph" w:styleId="ListParagraph">
    <w:name w:val="List Paragraph"/>
    <w:basedOn w:val="Normal"/>
    <w:uiPriority w:val="34"/>
    <w:qFormat/>
    <w:rsid w:val="00F343D0"/>
    <w:pPr>
      <w:ind w:left="720"/>
    </w:pPr>
  </w:style>
  <w:style w:type="paragraph" w:styleId="BodyText">
    <w:name w:val="Body Text"/>
    <w:basedOn w:val="Normal"/>
    <w:link w:val="BodyTextChar"/>
    <w:uiPriority w:val="1"/>
    <w:qFormat/>
    <w:rsid w:val="006C6762"/>
    <w:pPr>
      <w:widowControl w:val="0"/>
      <w:ind w:left="120"/>
    </w:pPr>
    <w:rPr>
      <w:rFonts w:ascii="Calibri" w:eastAsia="Calibri" w:hAnsi="Calibri"/>
    </w:rPr>
  </w:style>
  <w:style w:type="character" w:customStyle="1" w:styleId="BodyTextChar">
    <w:name w:val="Body Text Char"/>
    <w:link w:val="BodyText"/>
    <w:uiPriority w:val="1"/>
    <w:rsid w:val="006C6762"/>
    <w:rPr>
      <w:rFonts w:ascii="Calibri" w:eastAsia="Calibri" w:hAnsi="Calibri"/>
      <w:sz w:val="24"/>
      <w:szCs w:val="24"/>
    </w:rPr>
  </w:style>
  <w:style w:type="paragraph" w:customStyle="1" w:styleId="DocIdTag">
    <w:name w:val="DocIdTag"/>
    <w:basedOn w:val="Normal"/>
    <w:link w:val="DocIdTagChar"/>
    <w:rsid w:val="00577759"/>
    <w:pPr>
      <w:spacing w:before="360"/>
      <w:jc w:val="center"/>
    </w:pPr>
    <w:rPr>
      <w:rFonts w:ascii="Arial" w:hAnsi="Arial" w:cs="Arial"/>
      <w:b/>
      <w:color w:val="00FF00"/>
      <w:sz w:val="16"/>
      <w:szCs w:val="40"/>
    </w:rPr>
  </w:style>
  <w:style w:type="character" w:customStyle="1" w:styleId="DocIdTagChar">
    <w:name w:val="DocIdTag Char"/>
    <w:link w:val="DocIdTag"/>
    <w:rsid w:val="00577759"/>
    <w:rPr>
      <w:rFonts w:ascii="Arial" w:hAnsi="Arial" w:cs="Arial"/>
      <w:b/>
      <w:color w:val="00FF00"/>
      <w:sz w:val="16"/>
      <w:szCs w:val="40"/>
    </w:rPr>
  </w:style>
  <w:style w:type="paragraph" w:styleId="NormalWeb">
    <w:name w:val="Normal (Web)"/>
    <w:basedOn w:val="Normal"/>
    <w:uiPriority w:val="99"/>
    <w:unhideWhenUsed/>
    <w:rsid w:val="002E7DBB"/>
    <w:rPr>
      <w:rFonts w:eastAsia="Calibri"/>
    </w:rPr>
  </w:style>
  <w:style w:type="paragraph" w:styleId="Caption">
    <w:name w:val="caption"/>
    <w:basedOn w:val="Normal"/>
    <w:next w:val="Normal"/>
    <w:uiPriority w:val="35"/>
    <w:unhideWhenUsed/>
    <w:qFormat/>
    <w:rsid w:val="00926CBF"/>
    <w:pPr>
      <w:spacing w:after="200"/>
    </w:pPr>
    <w:rPr>
      <w:rFonts w:asciiTheme="minorHAnsi" w:eastAsiaTheme="minorHAnsi" w:hAnsiTheme="minorHAnsi" w:cstheme="minorBidi"/>
      <w:i/>
      <w:iCs/>
      <w:color w:val="44546A" w:themeColor="text2"/>
      <w:sz w:val="18"/>
      <w:szCs w:val="18"/>
    </w:rPr>
  </w:style>
  <w:style w:type="character" w:customStyle="1" w:styleId="FooterChar">
    <w:name w:val="Footer Char"/>
    <w:basedOn w:val="DefaultParagraphFont"/>
    <w:link w:val="Footer"/>
    <w:uiPriority w:val="99"/>
    <w:rsid w:val="00926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61497">
      <w:bodyDiv w:val="1"/>
      <w:marLeft w:val="0"/>
      <w:marRight w:val="0"/>
      <w:marTop w:val="0"/>
      <w:marBottom w:val="0"/>
      <w:divBdr>
        <w:top w:val="none" w:sz="0" w:space="0" w:color="auto"/>
        <w:left w:val="none" w:sz="0" w:space="0" w:color="auto"/>
        <w:bottom w:val="none" w:sz="0" w:space="0" w:color="auto"/>
        <w:right w:val="none" w:sz="0" w:space="0" w:color="auto"/>
      </w:divBdr>
      <w:divsChild>
        <w:div w:id="1590774247">
          <w:marLeft w:val="547"/>
          <w:marRight w:val="0"/>
          <w:marTop w:val="0"/>
          <w:marBottom w:val="0"/>
          <w:divBdr>
            <w:top w:val="none" w:sz="0" w:space="0" w:color="auto"/>
            <w:left w:val="none" w:sz="0" w:space="0" w:color="auto"/>
            <w:bottom w:val="none" w:sz="0" w:space="0" w:color="auto"/>
            <w:right w:val="none" w:sz="0" w:space="0" w:color="auto"/>
          </w:divBdr>
        </w:div>
        <w:div w:id="88548464">
          <w:marLeft w:val="1166"/>
          <w:marRight w:val="0"/>
          <w:marTop w:val="0"/>
          <w:marBottom w:val="0"/>
          <w:divBdr>
            <w:top w:val="none" w:sz="0" w:space="0" w:color="auto"/>
            <w:left w:val="none" w:sz="0" w:space="0" w:color="auto"/>
            <w:bottom w:val="none" w:sz="0" w:space="0" w:color="auto"/>
            <w:right w:val="none" w:sz="0" w:space="0" w:color="auto"/>
          </w:divBdr>
        </w:div>
        <w:div w:id="361369926">
          <w:marLeft w:val="1166"/>
          <w:marRight w:val="0"/>
          <w:marTop w:val="0"/>
          <w:marBottom w:val="0"/>
          <w:divBdr>
            <w:top w:val="none" w:sz="0" w:space="0" w:color="auto"/>
            <w:left w:val="none" w:sz="0" w:space="0" w:color="auto"/>
            <w:bottom w:val="none" w:sz="0" w:space="0" w:color="auto"/>
            <w:right w:val="none" w:sz="0" w:space="0" w:color="auto"/>
          </w:divBdr>
        </w:div>
        <w:div w:id="526718217">
          <w:marLeft w:val="1166"/>
          <w:marRight w:val="0"/>
          <w:marTop w:val="0"/>
          <w:marBottom w:val="0"/>
          <w:divBdr>
            <w:top w:val="none" w:sz="0" w:space="0" w:color="auto"/>
            <w:left w:val="none" w:sz="0" w:space="0" w:color="auto"/>
            <w:bottom w:val="none" w:sz="0" w:space="0" w:color="auto"/>
            <w:right w:val="none" w:sz="0" w:space="0" w:color="auto"/>
          </w:divBdr>
        </w:div>
        <w:div w:id="2040932175">
          <w:marLeft w:val="1166"/>
          <w:marRight w:val="0"/>
          <w:marTop w:val="0"/>
          <w:marBottom w:val="0"/>
          <w:divBdr>
            <w:top w:val="none" w:sz="0" w:space="0" w:color="auto"/>
            <w:left w:val="none" w:sz="0" w:space="0" w:color="auto"/>
            <w:bottom w:val="none" w:sz="0" w:space="0" w:color="auto"/>
            <w:right w:val="none" w:sz="0" w:space="0" w:color="auto"/>
          </w:divBdr>
        </w:div>
        <w:div w:id="134225717">
          <w:marLeft w:val="547"/>
          <w:marRight w:val="0"/>
          <w:marTop w:val="0"/>
          <w:marBottom w:val="0"/>
          <w:divBdr>
            <w:top w:val="none" w:sz="0" w:space="0" w:color="auto"/>
            <w:left w:val="none" w:sz="0" w:space="0" w:color="auto"/>
            <w:bottom w:val="none" w:sz="0" w:space="0" w:color="auto"/>
            <w:right w:val="none" w:sz="0" w:space="0" w:color="auto"/>
          </w:divBdr>
        </w:div>
        <w:div w:id="1361272913">
          <w:marLeft w:val="1166"/>
          <w:marRight w:val="0"/>
          <w:marTop w:val="0"/>
          <w:marBottom w:val="0"/>
          <w:divBdr>
            <w:top w:val="none" w:sz="0" w:space="0" w:color="auto"/>
            <w:left w:val="none" w:sz="0" w:space="0" w:color="auto"/>
            <w:bottom w:val="none" w:sz="0" w:space="0" w:color="auto"/>
            <w:right w:val="none" w:sz="0" w:space="0" w:color="auto"/>
          </w:divBdr>
        </w:div>
        <w:div w:id="1884487828">
          <w:marLeft w:val="1166"/>
          <w:marRight w:val="0"/>
          <w:marTop w:val="0"/>
          <w:marBottom w:val="0"/>
          <w:divBdr>
            <w:top w:val="none" w:sz="0" w:space="0" w:color="auto"/>
            <w:left w:val="none" w:sz="0" w:space="0" w:color="auto"/>
            <w:bottom w:val="none" w:sz="0" w:space="0" w:color="auto"/>
            <w:right w:val="none" w:sz="0" w:space="0" w:color="auto"/>
          </w:divBdr>
        </w:div>
        <w:div w:id="280841160">
          <w:marLeft w:val="1166"/>
          <w:marRight w:val="0"/>
          <w:marTop w:val="0"/>
          <w:marBottom w:val="0"/>
          <w:divBdr>
            <w:top w:val="none" w:sz="0" w:space="0" w:color="auto"/>
            <w:left w:val="none" w:sz="0" w:space="0" w:color="auto"/>
            <w:bottom w:val="none" w:sz="0" w:space="0" w:color="auto"/>
            <w:right w:val="none" w:sz="0" w:space="0" w:color="auto"/>
          </w:divBdr>
        </w:div>
        <w:div w:id="792015271">
          <w:marLeft w:val="1166"/>
          <w:marRight w:val="0"/>
          <w:marTop w:val="0"/>
          <w:marBottom w:val="0"/>
          <w:divBdr>
            <w:top w:val="none" w:sz="0" w:space="0" w:color="auto"/>
            <w:left w:val="none" w:sz="0" w:space="0" w:color="auto"/>
            <w:bottom w:val="none" w:sz="0" w:space="0" w:color="auto"/>
            <w:right w:val="none" w:sz="0" w:space="0" w:color="auto"/>
          </w:divBdr>
        </w:div>
        <w:div w:id="265045230">
          <w:marLeft w:val="547"/>
          <w:marRight w:val="0"/>
          <w:marTop w:val="0"/>
          <w:marBottom w:val="0"/>
          <w:divBdr>
            <w:top w:val="none" w:sz="0" w:space="0" w:color="auto"/>
            <w:left w:val="none" w:sz="0" w:space="0" w:color="auto"/>
            <w:bottom w:val="none" w:sz="0" w:space="0" w:color="auto"/>
            <w:right w:val="none" w:sz="0" w:space="0" w:color="auto"/>
          </w:divBdr>
        </w:div>
        <w:div w:id="2046826332">
          <w:marLeft w:val="1166"/>
          <w:marRight w:val="0"/>
          <w:marTop w:val="0"/>
          <w:marBottom w:val="0"/>
          <w:divBdr>
            <w:top w:val="none" w:sz="0" w:space="0" w:color="auto"/>
            <w:left w:val="none" w:sz="0" w:space="0" w:color="auto"/>
            <w:bottom w:val="none" w:sz="0" w:space="0" w:color="auto"/>
            <w:right w:val="none" w:sz="0" w:space="0" w:color="auto"/>
          </w:divBdr>
        </w:div>
        <w:div w:id="1757898189">
          <w:marLeft w:val="1166"/>
          <w:marRight w:val="0"/>
          <w:marTop w:val="0"/>
          <w:marBottom w:val="0"/>
          <w:divBdr>
            <w:top w:val="none" w:sz="0" w:space="0" w:color="auto"/>
            <w:left w:val="none" w:sz="0" w:space="0" w:color="auto"/>
            <w:bottom w:val="none" w:sz="0" w:space="0" w:color="auto"/>
            <w:right w:val="none" w:sz="0" w:space="0" w:color="auto"/>
          </w:divBdr>
        </w:div>
        <w:div w:id="1632904725">
          <w:marLeft w:val="1166"/>
          <w:marRight w:val="0"/>
          <w:marTop w:val="0"/>
          <w:marBottom w:val="0"/>
          <w:divBdr>
            <w:top w:val="none" w:sz="0" w:space="0" w:color="auto"/>
            <w:left w:val="none" w:sz="0" w:space="0" w:color="auto"/>
            <w:bottom w:val="none" w:sz="0" w:space="0" w:color="auto"/>
            <w:right w:val="none" w:sz="0" w:space="0" w:color="auto"/>
          </w:divBdr>
        </w:div>
        <w:div w:id="41486448">
          <w:marLeft w:val="1166"/>
          <w:marRight w:val="0"/>
          <w:marTop w:val="0"/>
          <w:marBottom w:val="0"/>
          <w:divBdr>
            <w:top w:val="none" w:sz="0" w:space="0" w:color="auto"/>
            <w:left w:val="none" w:sz="0" w:space="0" w:color="auto"/>
            <w:bottom w:val="none" w:sz="0" w:space="0" w:color="auto"/>
            <w:right w:val="none" w:sz="0" w:space="0" w:color="auto"/>
          </w:divBdr>
        </w:div>
        <w:div w:id="173303446">
          <w:marLeft w:val="547"/>
          <w:marRight w:val="0"/>
          <w:marTop w:val="0"/>
          <w:marBottom w:val="0"/>
          <w:divBdr>
            <w:top w:val="none" w:sz="0" w:space="0" w:color="auto"/>
            <w:left w:val="none" w:sz="0" w:space="0" w:color="auto"/>
            <w:bottom w:val="none" w:sz="0" w:space="0" w:color="auto"/>
            <w:right w:val="none" w:sz="0" w:space="0" w:color="auto"/>
          </w:divBdr>
        </w:div>
        <w:div w:id="1402021499">
          <w:marLeft w:val="1166"/>
          <w:marRight w:val="0"/>
          <w:marTop w:val="0"/>
          <w:marBottom w:val="0"/>
          <w:divBdr>
            <w:top w:val="none" w:sz="0" w:space="0" w:color="auto"/>
            <w:left w:val="none" w:sz="0" w:space="0" w:color="auto"/>
            <w:bottom w:val="none" w:sz="0" w:space="0" w:color="auto"/>
            <w:right w:val="none" w:sz="0" w:space="0" w:color="auto"/>
          </w:divBdr>
        </w:div>
        <w:div w:id="290672182">
          <w:marLeft w:val="1166"/>
          <w:marRight w:val="0"/>
          <w:marTop w:val="0"/>
          <w:marBottom w:val="0"/>
          <w:divBdr>
            <w:top w:val="none" w:sz="0" w:space="0" w:color="auto"/>
            <w:left w:val="none" w:sz="0" w:space="0" w:color="auto"/>
            <w:bottom w:val="none" w:sz="0" w:space="0" w:color="auto"/>
            <w:right w:val="none" w:sz="0" w:space="0" w:color="auto"/>
          </w:divBdr>
        </w:div>
        <w:div w:id="1991254043">
          <w:marLeft w:val="1166"/>
          <w:marRight w:val="0"/>
          <w:marTop w:val="0"/>
          <w:marBottom w:val="0"/>
          <w:divBdr>
            <w:top w:val="none" w:sz="0" w:space="0" w:color="auto"/>
            <w:left w:val="none" w:sz="0" w:space="0" w:color="auto"/>
            <w:bottom w:val="none" w:sz="0" w:space="0" w:color="auto"/>
            <w:right w:val="none" w:sz="0" w:space="0" w:color="auto"/>
          </w:divBdr>
        </w:div>
        <w:div w:id="1923491242">
          <w:marLeft w:val="547"/>
          <w:marRight w:val="0"/>
          <w:marTop w:val="0"/>
          <w:marBottom w:val="0"/>
          <w:divBdr>
            <w:top w:val="none" w:sz="0" w:space="0" w:color="auto"/>
            <w:left w:val="none" w:sz="0" w:space="0" w:color="auto"/>
            <w:bottom w:val="none" w:sz="0" w:space="0" w:color="auto"/>
            <w:right w:val="none" w:sz="0" w:space="0" w:color="auto"/>
          </w:divBdr>
        </w:div>
        <w:div w:id="592515335">
          <w:marLeft w:val="1166"/>
          <w:marRight w:val="0"/>
          <w:marTop w:val="0"/>
          <w:marBottom w:val="0"/>
          <w:divBdr>
            <w:top w:val="none" w:sz="0" w:space="0" w:color="auto"/>
            <w:left w:val="none" w:sz="0" w:space="0" w:color="auto"/>
            <w:bottom w:val="none" w:sz="0" w:space="0" w:color="auto"/>
            <w:right w:val="none" w:sz="0" w:space="0" w:color="auto"/>
          </w:divBdr>
        </w:div>
        <w:div w:id="1118984104">
          <w:marLeft w:val="1166"/>
          <w:marRight w:val="0"/>
          <w:marTop w:val="0"/>
          <w:marBottom w:val="0"/>
          <w:divBdr>
            <w:top w:val="none" w:sz="0" w:space="0" w:color="auto"/>
            <w:left w:val="none" w:sz="0" w:space="0" w:color="auto"/>
            <w:bottom w:val="none" w:sz="0" w:space="0" w:color="auto"/>
            <w:right w:val="none" w:sz="0" w:space="0" w:color="auto"/>
          </w:divBdr>
        </w:div>
        <w:div w:id="1939363911">
          <w:marLeft w:val="1166"/>
          <w:marRight w:val="0"/>
          <w:marTop w:val="0"/>
          <w:marBottom w:val="0"/>
          <w:divBdr>
            <w:top w:val="none" w:sz="0" w:space="0" w:color="auto"/>
            <w:left w:val="none" w:sz="0" w:space="0" w:color="auto"/>
            <w:bottom w:val="none" w:sz="0" w:space="0" w:color="auto"/>
            <w:right w:val="none" w:sz="0" w:space="0" w:color="auto"/>
          </w:divBdr>
        </w:div>
        <w:div w:id="514340736">
          <w:marLeft w:val="547"/>
          <w:marRight w:val="0"/>
          <w:marTop w:val="0"/>
          <w:marBottom w:val="0"/>
          <w:divBdr>
            <w:top w:val="none" w:sz="0" w:space="0" w:color="auto"/>
            <w:left w:val="none" w:sz="0" w:space="0" w:color="auto"/>
            <w:bottom w:val="none" w:sz="0" w:space="0" w:color="auto"/>
            <w:right w:val="none" w:sz="0" w:space="0" w:color="auto"/>
          </w:divBdr>
        </w:div>
        <w:div w:id="664285491">
          <w:marLeft w:val="1166"/>
          <w:marRight w:val="0"/>
          <w:marTop w:val="0"/>
          <w:marBottom w:val="0"/>
          <w:divBdr>
            <w:top w:val="none" w:sz="0" w:space="0" w:color="auto"/>
            <w:left w:val="none" w:sz="0" w:space="0" w:color="auto"/>
            <w:bottom w:val="none" w:sz="0" w:space="0" w:color="auto"/>
            <w:right w:val="none" w:sz="0" w:space="0" w:color="auto"/>
          </w:divBdr>
        </w:div>
        <w:div w:id="385959879">
          <w:marLeft w:val="1166"/>
          <w:marRight w:val="0"/>
          <w:marTop w:val="0"/>
          <w:marBottom w:val="0"/>
          <w:divBdr>
            <w:top w:val="none" w:sz="0" w:space="0" w:color="auto"/>
            <w:left w:val="none" w:sz="0" w:space="0" w:color="auto"/>
            <w:bottom w:val="none" w:sz="0" w:space="0" w:color="auto"/>
            <w:right w:val="none" w:sz="0" w:space="0" w:color="auto"/>
          </w:divBdr>
        </w:div>
        <w:div w:id="1668829090">
          <w:marLeft w:val="1166"/>
          <w:marRight w:val="0"/>
          <w:marTop w:val="0"/>
          <w:marBottom w:val="0"/>
          <w:divBdr>
            <w:top w:val="none" w:sz="0" w:space="0" w:color="auto"/>
            <w:left w:val="none" w:sz="0" w:space="0" w:color="auto"/>
            <w:bottom w:val="none" w:sz="0" w:space="0" w:color="auto"/>
            <w:right w:val="none" w:sz="0" w:space="0" w:color="auto"/>
          </w:divBdr>
        </w:div>
        <w:div w:id="1228297424">
          <w:marLeft w:val="547"/>
          <w:marRight w:val="0"/>
          <w:marTop w:val="0"/>
          <w:marBottom w:val="0"/>
          <w:divBdr>
            <w:top w:val="none" w:sz="0" w:space="0" w:color="auto"/>
            <w:left w:val="none" w:sz="0" w:space="0" w:color="auto"/>
            <w:bottom w:val="none" w:sz="0" w:space="0" w:color="auto"/>
            <w:right w:val="none" w:sz="0" w:space="0" w:color="auto"/>
          </w:divBdr>
        </w:div>
        <w:div w:id="1928535017">
          <w:marLeft w:val="1166"/>
          <w:marRight w:val="0"/>
          <w:marTop w:val="0"/>
          <w:marBottom w:val="0"/>
          <w:divBdr>
            <w:top w:val="none" w:sz="0" w:space="0" w:color="auto"/>
            <w:left w:val="none" w:sz="0" w:space="0" w:color="auto"/>
            <w:bottom w:val="none" w:sz="0" w:space="0" w:color="auto"/>
            <w:right w:val="none" w:sz="0" w:space="0" w:color="auto"/>
          </w:divBdr>
        </w:div>
      </w:divsChild>
    </w:div>
    <w:div w:id="1218853590">
      <w:bodyDiv w:val="1"/>
      <w:marLeft w:val="0"/>
      <w:marRight w:val="0"/>
      <w:marTop w:val="0"/>
      <w:marBottom w:val="0"/>
      <w:divBdr>
        <w:top w:val="none" w:sz="0" w:space="0" w:color="auto"/>
        <w:left w:val="none" w:sz="0" w:space="0" w:color="auto"/>
        <w:bottom w:val="none" w:sz="0" w:space="0" w:color="auto"/>
        <w:right w:val="none" w:sz="0" w:space="0" w:color="auto"/>
      </w:divBdr>
    </w:div>
    <w:div w:id="1316834766">
      <w:bodyDiv w:val="1"/>
      <w:marLeft w:val="0"/>
      <w:marRight w:val="0"/>
      <w:marTop w:val="0"/>
      <w:marBottom w:val="0"/>
      <w:divBdr>
        <w:top w:val="none" w:sz="0" w:space="0" w:color="auto"/>
        <w:left w:val="none" w:sz="0" w:space="0" w:color="auto"/>
        <w:bottom w:val="none" w:sz="0" w:space="0" w:color="auto"/>
        <w:right w:val="none" w:sz="0" w:space="0" w:color="auto"/>
      </w:divBdr>
      <w:divsChild>
        <w:div w:id="37903970">
          <w:marLeft w:val="0"/>
          <w:marRight w:val="0"/>
          <w:marTop w:val="0"/>
          <w:marBottom w:val="0"/>
          <w:divBdr>
            <w:top w:val="none" w:sz="0" w:space="0" w:color="auto"/>
            <w:left w:val="none" w:sz="0" w:space="0" w:color="auto"/>
            <w:bottom w:val="none" w:sz="0" w:space="0" w:color="auto"/>
            <w:right w:val="none" w:sz="0" w:space="0" w:color="auto"/>
          </w:divBdr>
        </w:div>
        <w:div w:id="55664796">
          <w:marLeft w:val="0"/>
          <w:marRight w:val="0"/>
          <w:marTop w:val="0"/>
          <w:marBottom w:val="0"/>
          <w:divBdr>
            <w:top w:val="none" w:sz="0" w:space="0" w:color="auto"/>
            <w:left w:val="none" w:sz="0" w:space="0" w:color="auto"/>
            <w:bottom w:val="none" w:sz="0" w:space="0" w:color="auto"/>
            <w:right w:val="none" w:sz="0" w:space="0" w:color="auto"/>
          </w:divBdr>
        </w:div>
        <w:div w:id="207230145">
          <w:marLeft w:val="0"/>
          <w:marRight w:val="0"/>
          <w:marTop w:val="0"/>
          <w:marBottom w:val="0"/>
          <w:divBdr>
            <w:top w:val="none" w:sz="0" w:space="0" w:color="auto"/>
            <w:left w:val="none" w:sz="0" w:space="0" w:color="auto"/>
            <w:bottom w:val="none" w:sz="0" w:space="0" w:color="auto"/>
            <w:right w:val="none" w:sz="0" w:space="0" w:color="auto"/>
          </w:divBdr>
        </w:div>
        <w:div w:id="408574799">
          <w:marLeft w:val="0"/>
          <w:marRight w:val="0"/>
          <w:marTop w:val="0"/>
          <w:marBottom w:val="0"/>
          <w:divBdr>
            <w:top w:val="none" w:sz="0" w:space="0" w:color="auto"/>
            <w:left w:val="none" w:sz="0" w:space="0" w:color="auto"/>
            <w:bottom w:val="none" w:sz="0" w:space="0" w:color="auto"/>
            <w:right w:val="none" w:sz="0" w:space="0" w:color="auto"/>
          </w:divBdr>
        </w:div>
        <w:div w:id="544299198">
          <w:marLeft w:val="0"/>
          <w:marRight w:val="0"/>
          <w:marTop w:val="0"/>
          <w:marBottom w:val="0"/>
          <w:divBdr>
            <w:top w:val="none" w:sz="0" w:space="0" w:color="auto"/>
            <w:left w:val="none" w:sz="0" w:space="0" w:color="auto"/>
            <w:bottom w:val="none" w:sz="0" w:space="0" w:color="auto"/>
            <w:right w:val="none" w:sz="0" w:space="0" w:color="auto"/>
          </w:divBdr>
        </w:div>
        <w:div w:id="1168442795">
          <w:marLeft w:val="0"/>
          <w:marRight w:val="0"/>
          <w:marTop w:val="0"/>
          <w:marBottom w:val="0"/>
          <w:divBdr>
            <w:top w:val="none" w:sz="0" w:space="0" w:color="auto"/>
            <w:left w:val="none" w:sz="0" w:space="0" w:color="auto"/>
            <w:bottom w:val="none" w:sz="0" w:space="0" w:color="auto"/>
            <w:right w:val="none" w:sz="0" w:space="0" w:color="auto"/>
          </w:divBdr>
        </w:div>
        <w:div w:id="1824151709">
          <w:marLeft w:val="0"/>
          <w:marRight w:val="0"/>
          <w:marTop w:val="0"/>
          <w:marBottom w:val="0"/>
          <w:divBdr>
            <w:top w:val="none" w:sz="0" w:space="0" w:color="auto"/>
            <w:left w:val="none" w:sz="0" w:space="0" w:color="auto"/>
            <w:bottom w:val="none" w:sz="0" w:space="0" w:color="auto"/>
            <w:right w:val="none" w:sz="0" w:space="0" w:color="auto"/>
          </w:divBdr>
        </w:div>
        <w:div w:id="201734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ike.whitney@ncp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6df7007-c5d6-4331-8e1b-ac66ee9d2a3f" ContentTypeId="0x0101000734CA646575B1448E3720F53DF7BD5200C445BF1E79BBF0408FA67404FAC403B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1ea36f58-26a4-42cb-b893-1f8833769e84">
      <Value>5</Value>
      <Value>116</Value>
      <Value>63</Value>
    </TaxCatchAll>
    <NERCStandard xmlns="1ea36f58-26a4-42cb-b893-1f8833769e84">(None)</NERCStandard>
    <AdvocacyType xmlns="1ea36f58-26a4-42cb-b893-1f8833769e84">(None)</AdvocacyType>
    <ShortDescription xmlns="1ea36f58-26a4-42cb-b893-1f8833769e84" xsi:nil="true"/>
    <Month xmlns="1ea36f58-26a4-42cb-b893-1f8833769e84">(None)</Month>
    <a1448269b7864608b3145534873faa16 xmlns="1ea36f58-26a4-42cb-b893-1f8833769e84">
      <Terms xmlns="http://schemas.microsoft.com/office/infopath/2007/PartnerControls">
        <TermInfo xmlns="http://schemas.microsoft.com/office/infopath/2007/PartnerControls">
          <TermName xmlns="http://schemas.microsoft.com/office/infopath/2007/PartnerControls">Reports and Studies</TermName>
          <TermId xmlns="http://schemas.microsoft.com/office/infopath/2007/PartnerControls">a2aaa8ad-92f4-469d-83d6-27501620d15d</TermId>
        </TermInfo>
      </Terms>
    </a1448269b7864608b3145534873faa16>
    <c586309635d0431580705fa92989b95c xmlns="1ea36f58-26a4-42cb-b893-1f8833769e84">
      <Terms xmlns="http://schemas.microsoft.com/office/infopath/2007/PartnerControls">
        <TermInfo xmlns="http://schemas.microsoft.com/office/infopath/2007/PartnerControls">
          <TermName xmlns="http://schemas.microsoft.com/office/infopath/2007/PartnerControls">California Independent System Operator</TermName>
          <TermId xmlns="http://schemas.microsoft.com/office/infopath/2007/PartnerControls">eac429c2-a03a-4144-9986-2fc5a3b3e278</TermId>
        </TermInfo>
      </Terms>
    </c586309635d0431580705fa92989b95c>
    <NERCRequirement xmlns="1ea36f58-26a4-42cb-b893-1f8833769e84">(None)</NERCRequirement>
    <n859b4c787ab4f10993ab4c885b967cd xmlns="1ea36f58-26a4-42cb-b893-1f8833769e84">
      <Terms xmlns="http://schemas.microsoft.com/office/infopath/2007/PartnerControls"/>
    </n859b4c787ab4f10993ab4c885b967cd>
    <m046cb3df90c4fa5b81518d85c5809d6 xmlns="1ea36f58-26a4-42cb-b893-1f8833769e84">
      <Terms xmlns="http://schemas.microsoft.com/office/infopath/2007/PartnerControls"/>
    </m046cb3df90c4fa5b81518d85c5809d6>
    <c902dccf9dc746d4857ea7b0e5fe4d00 xmlns="1ea36f58-26a4-42cb-b893-1f8833769e84">
      <Terms xmlns="http://schemas.microsoft.com/office/infopath/2007/PartnerControls">
        <TermInfo xmlns="http://schemas.microsoft.com/office/infopath/2007/PartnerControls">
          <TermName xmlns="http://schemas.microsoft.com/office/infopath/2007/PartnerControls">Comments</TermName>
          <TermId xmlns="http://schemas.microsoft.com/office/infopath/2007/PartnerControls">99b1ad4a-10d2-4a9a-9d56-678b7a91b543</TermId>
        </TermInfo>
      </Terms>
    </c902dccf9dc746d4857ea7b0e5fe4d00>
    <Evidence xmlns="1ea36f58-26a4-42cb-b893-1f8833769e84">No</Evidence>
    <_dlc_DocId xmlns="1717d404-9bd2-4458-b4de-04e5105e3024">SVEEP5JM5VJQ-1412803557-311</_dlc_DocId>
    <_dlc_DocIdUrl xmlns="1717d404-9bd2-4458-b4de-04e5105e3024">
      <Url>http://teamsites/dept/pm/_layouts/15/DocIdRedir.aspx?ID=SVEEP5JM5VJQ-1412803557-311</Url>
      <Description>SVEEP5JM5VJQ-1412803557-311</Description>
    </_dlc_DocIdUrl>
  </documentManagement>
</p:properties>
</file>

<file path=customXml/item5.xml><?xml version="1.0" encoding="utf-8"?>
<LongProperties xmlns="http://schemas.microsoft.com/office/2006/metadata/longProperties">
  <LongProp xmlns="" name="CSMeta2010Field"><![CDATA[68b6d6d1-71e8-4bab-8f6a-5b8792d307e8;2015-11-13 09:19:43;PENDINGCLASSIFICATION;Automatically Updated Record Series:|False||PENDINGCLASSIFICATION|2015-11-13 09:19:43|UNDEFINED|b096d808-b59a-41b7-a526-eb1052d792f3;Automatically Updated Document Type:|False||PENDINGCLASSIFICATION|2015-11-13 09:19:43|UNDEFINED|ac604266-3e65-44a5-b5f6-c47baa21cbec;Automatically Updated Topic:|False||PENDINGCLASSIFICATION|2015-11-13 09:19:43|UNDEFINED|6b7a63be-9612-4100-8d72-8fcf8db72869;False]]></LongProp>
</LongProperties>
</file>

<file path=customXml/item6.xml><?xml version="1.0" encoding="utf-8"?>
<ct:contentTypeSchema xmlns:ct="http://schemas.microsoft.com/office/2006/metadata/contentType" xmlns:ma="http://schemas.microsoft.com/office/2006/metadata/properties/metaAttributes" ct:_="" ma:_="" ma:contentTypeName="Market Redesign Document" ma:contentTypeID="0x0101000734CA646575B1448E3720F53DF7BD5200C445BF1E79BBF0408FA67404FAC403B200B1B1E6442BA41D47BBECEA8F650295CD" ma:contentTypeVersion="27" ma:contentTypeDescription="Base content type for all NCPA documents." ma:contentTypeScope="" ma:versionID="7c28ead7b17030a66cf21d8251096b41">
  <xsd:schema xmlns:xsd="http://www.w3.org/2001/XMLSchema" xmlns:xs="http://www.w3.org/2001/XMLSchema" xmlns:p="http://schemas.microsoft.com/office/2006/metadata/properties" xmlns:ns2="1ea36f58-26a4-42cb-b893-1f8833769e84" xmlns:ns3="1717d404-9bd2-4458-b4de-04e5105e3024" targetNamespace="http://schemas.microsoft.com/office/2006/metadata/properties" ma:root="true" ma:fieldsID="98a09a2acc3457793e58ffb59527e73c" ns2:_="" ns3:_="">
    <xsd:import namespace="1ea36f58-26a4-42cb-b893-1f8833769e84"/>
    <xsd:import namespace="1717d404-9bd2-4458-b4de-04e5105e3024"/>
    <xsd:element name="properties">
      <xsd:complexType>
        <xsd:sequence>
          <xsd:element name="documentManagement">
            <xsd:complexType>
              <xsd:all>
                <xsd:element ref="ns2:AdvocacyType" minOccurs="0"/>
                <xsd:element ref="ns2:ShortDescription" minOccurs="0"/>
                <xsd:element ref="ns2:Month" minOccurs="0"/>
                <xsd:element ref="ns2:Evidence" minOccurs="0"/>
                <xsd:element ref="ns2:NERCStandard" minOccurs="0"/>
                <xsd:element ref="ns2:NERCRequirement" minOccurs="0"/>
                <xsd:element ref="ns2:a1448269b7864608b3145534873faa16" minOccurs="0"/>
                <xsd:element ref="ns2:n859b4c787ab4f10993ab4c885b967cd" minOccurs="0"/>
                <xsd:element ref="ns2:TaxCatchAll" minOccurs="0"/>
                <xsd:element ref="ns2:c586309635d0431580705fa92989b95c" minOccurs="0"/>
                <xsd:element ref="ns2:c902dccf9dc746d4857ea7b0e5fe4d00" minOccurs="0"/>
                <xsd:element ref="ns2:m046cb3df90c4fa5b81518d85c5809d6" minOccurs="0"/>
                <xsd:element ref="ns2:TaxCatchAllLabe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36f58-26a4-42cb-b893-1f8833769e84" elementFormDefault="qualified">
    <xsd:import namespace="http://schemas.microsoft.com/office/2006/documentManagement/types"/>
    <xsd:import namespace="http://schemas.microsoft.com/office/infopath/2007/PartnerControls"/>
    <xsd:element name="AdvocacyType" ma:index="2" nillable="true" ma:displayName="Advocacy Type" ma:description="Select the type of advocacy." ma:format="Dropdown" ma:internalName="AdvocacyType">
      <xsd:simpleType>
        <xsd:restriction base="dms:Choice">
          <xsd:enumeration value="(None)"/>
          <xsd:enumeration value="Federal Legislation"/>
          <xsd:enumeration value="State Legislation"/>
          <xsd:enumeration value="Federal Power Resource"/>
          <xsd:enumeration value="Federal Regulatory"/>
          <xsd:enumeration value="State Regulatory"/>
          <xsd:enumeration value="Market Redesign"/>
          <xsd:enumeration value="Reliability"/>
        </xsd:restriction>
      </xsd:simpleType>
    </xsd:element>
    <xsd:element name="ShortDescription" ma:index="6" nillable="true" ma:displayName="Short Description" ma:description="Enter a short description." ma:internalName="ShortDescription">
      <xsd:simpleType>
        <xsd:restriction base="dms:Note">
          <xsd:maxLength value="255"/>
        </xsd:restriction>
      </xsd:simpleType>
    </xsd:element>
    <xsd:element name="Month" ma:index="7" nillable="true" ma:displayName="Month" ma:description="Select the month." ma:format="Dropdown" ma:internalName="Month">
      <xsd:simpleType>
        <xsd:restriction base="dms:Choice">
          <xsd:enumeration value="(Non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Evidence" ma:index="9" nillable="true" ma:displayName="Evidence" ma:description="Select the evidence." ma:format="Dropdown" ma:internalName="Evidence">
      <xsd:simpleType>
        <xsd:restriction base="dms:Choice">
          <xsd:enumeration value="(None)"/>
          <xsd:enumeration value="Yes"/>
          <xsd:enumeration value="No"/>
        </xsd:restriction>
      </xsd:simpleType>
    </xsd:element>
    <xsd:element name="NERCStandard" ma:index="10" nillable="true" ma:displayName="NERC Standard" ma:description="Select the NERC standard." ma:format="Dropdown" ma:internalName="NERCStandard">
      <xsd:simpleType>
        <xsd:restriction base="dms:Choice">
          <xsd:enumeration value="(None)"/>
          <xsd:enumeration value="CIP-001-2A"/>
          <xsd:enumeration value="CIP-002-3"/>
          <xsd:enumeration value="CIP-002-5.1"/>
          <xsd:enumeration value="FAC-003-3"/>
          <xsd:enumeration value="COM-002-2"/>
          <xsd:enumeration value="COM-002-2A"/>
          <xsd:enumeration value="COM-002-3"/>
          <xsd:enumeration value="EOP-004-1"/>
          <xsd:enumeration value="EOP-004-2"/>
          <xsd:enumeration value="FAC-001-1"/>
          <xsd:enumeration value="FAC-002-1"/>
          <xsd:enumeration value="FAC-003-1"/>
          <xsd:enumeration value="FAC-008-1"/>
          <xsd:enumeration value="FAC-008-3"/>
          <xsd:enumeration value="MOD-010-0"/>
          <xsd:enumeration value="MOD-012-0"/>
          <xsd:enumeration value="MOD-025-2"/>
          <xsd:enumeration value="MOD-026-1"/>
          <xsd:enumeration value="MOD-027-1"/>
          <xsd:enumeration value="PER-005-2"/>
          <xsd:enumeration value="PRC-001-1.1"/>
          <xsd:enumeration value="PRC-001-1"/>
          <xsd:enumeration value="PRC-001-2"/>
          <xsd:enumeration value="PRC-004-2.1A"/>
          <xsd:enumeration value="PRC-004-WECC-1"/>
          <xsd:enumeration value="PRC-005-1.1B"/>
          <xsd:enumeration value="PRC-005-1A"/>
          <xsd:enumeration value="PRC-005-1B"/>
          <xsd:enumeration value="PRC-005-2"/>
          <xsd:enumeration value="PRC-005-3"/>
          <xsd:enumeration value="PRC-015-0"/>
          <xsd:enumeration value="PRC-016-0.1"/>
          <xsd:enumeration value="PRC-017-0"/>
          <xsd:enumeration value="PRC-018-1"/>
          <xsd:enumeration value="PRC-023-1"/>
          <xsd:enumeration value="PRC-023-2"/>
          <xsd:enumeration value="PRC-023-3"/>
          <xsd:enumeration value="PRC-025-1"/>
          <xsd:enumeration value="Other"/>
        </xsd:restriction>
      </xsd:simpleType>
    </xsd:element>
    <xsd:element name="NERCRequirement" ma:index="11" nillable="true" ma:displayName="NERC Requirement" ma:description="Select the NERC requirement." ma:format="Dropdown" ma:internalName="NERCRequirement">
      <xsd:simpleType>
        <xsd:restriction base="dms:Choice">
          <xsd:enumeration value="(None)"/>
          <xsd:enumeration value="EA1"/>
          <xsd:enumeration value="EA2"/>
          <xsd:enumeration value="EA3"/>
          <xsd:enumeration value="EA4"/>
          <xsd:enumeration value="R00"/>
          <xsd:enumeration value="R01"/>
          <xsd:enumeration value="R02"/>
          <xsd:enumeration value="R03"/>
          <xsd:enumeration value="R04"/>
          <xsd:enumeration value="R05"/>
          <xsd:enumeration value="R06"/>
          <xsd:enumeration value="R07"/>
          <xsd:enumeration value="R08"/>
          <xsd:enumeration value="R09"/>
          <xsd:enumeration value="R10"/>
          <xsd:enumeration value="R11"/>
          <xsd:enumeration value="R12"/>
          <xsd:enumeration value="R13"/>
          <xsd:enumeration value="R14"/>
          <xsd:enumeration value="R15"/>
          <xsd:enumeration value="R16"/>
          <xsd:enumeration value="R17"/>
          <xsd:enumeration value="R18"/>
        </xsd:restriction>
      </xsd:simpleType>
    </xsd:element>
    <xsd:element name="a1448269b7864608b3145534873faa16" ma:index="13" nillable="true" ma:taxonomy="true" ma:internalName="a1448269b7864608b3145534873faa16" ma:taxonomyFieldName="RecordType" ma:displayName="Record Type" ma:default="" ma:fieldId="{a1448269-b786-4608-b314-5534873faa16}" ma:sspId="36df7007-c5d6-4331-8e1b-ac66ee9d2a3f" ma:termSetId="306f0983-ece3-4cb7-bb7a-abedd2b606fb" ma:anchorId="00000000-0000-0000-0000-000000000000" ma:open="false" ma:isKeyword="false">
      <xsd:complexType>
        <xsd:sequence>
          <xsd:element ref="pc:Terms" minOccurs="0" maxOccurs="1"/>
        </xsd:sequence>
      </xsd:complexType>
    </xsd:element>
    <xsd:element name="n859b4c787ab4f10993ab4c885b967cd" ma:index="15" nillable="true" ma:taxonomy="true" ma:internalName="n859b4c787ab4f10993ab4c885b967cd" ma:taxonomyFieldName="Year" ma:displayName="Year" ma:default="" ma:fieldId="{7859b4c7-87ab-4f10-993a-b4c885b967cd}" ma:sspId="36df7007-c5d6-4331-8e1b-ac66ee9d2a3f" ma:termSetId="2c21770d-1466-4789-9924-85981f4df11d"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1938ef43-cdef-48d1-8789-cce817055115}" ma:internalName="TaxCatchAll" ma:showField="CatchAllData" ma:web="1717d404-9bd2-4458-b4de-04e5105e3024">
      <xsd:complexType>
        <xsd:complexContent>
          <xsd:extension base="dms:MultiChoiceLookup">
            <xsd:sequence>
              <xsd:element name="Value" type="dms:Lookup" maxOccurs="unbounded" minOccurs="0" nillable="true"/>
            </xsd:sequence>
          </xsd:extension>
        </xsd:complexContent>
      </xsd:complexType>
    </xsd:element>
    <xsd:element name="c586309635d0431580705fa92989b95c" ma:index="18" nillable="true" ma:taxonomy="true" ma:internalName="c586309635d0431580705fa92989b95c" ma:taxonomyFieldName="Entity" ma:displayName="Entity" ma:default="" ma:fieldId="{c5863096-35d0-4315-8070-5fa92989b95c}" ma:sspId="36df7007-c5d6-4331-8e1b-ac66ee9d2a3f" ma:termSetId="f36609e8-1aa2-4b83-993b-c917f6d35cb3" ma:anchorId="00000000-0000-0000-0000-000000000000" ma:open="false" ma:isKeyword="false">
      <xsd:complexType>
        <xsd:sequence>
          <xsd:element ref="pc:Terms" minOccurs="0" maxOccurs="1"/>
        </xsd:sequence>
      </xsd:complexType>
    </xsd:element>
    <xsd:element name="c902dccf9dc746d4857ea7b0e5fe4d00" ma:index="20" nillable="true" ma:taxonomy="true" ma:internalName="c902dccf9dc746d4857ea7b0e5fe4d00" ma:taxonomyFieldName="DocumentType" ma:displayName="Document Type" ma:default="" ma:fieldId="{c902dccf-9dc7-46d4-857e-a7b0e5fe4d00}" ma:sspId="36df7007-c5d6-4331-8e1b-ac66ee9d2a3f" ma:termSetId="a8fb065e-73ba-40da-8a7d-8a39c2df9c80" ma:anchorId="00000000-0000-0000-0000-000000000000" ma:open="false" ma:isKeyword="false">
      <xsd:complexType>
        <xsd:sequence>
          <xsd:element ref="pc:Terms" minOccurs="0" maxOccurs="1"/>
        </xsd:sequence>
      </xsd:complexType>
    </xsd:element>
    <xsd:element name="m046cb3df90c4fa5b81518d85c5809d6" ma:index="22" nillable="true" ma:taxonomy="true" ma:internalName="m046cb3df90c4fa5b81518d85c5809d6" ma:taxonomyFieldName="CategoryType" ma:displayName="Category Type" ma:default="" ma:fieldId="{6046cb3d-f90c-4fa5-b815-18d85c5809d6}" ma:sspId="36df7007-c5d6-4331-8e1b-ac66ee9d2a3f" ma:termSetId="a11b040d-c5a4-47a3-bdc0-2f24a679afde" ma:anchorId="00000000-0000-0000-0000-000000000000" ma:open="false" ma:isKeyword="false">
      <xsd:complexType>
        <xsd:sequence>
          <xsd:element ref="pc:Terms" minOccurs="0" maxOccurs="1"/>
        </xsd:sequence>
      </xsd:complexType>
    </xsd:element>
    <xsd:element name="TaxCatchAllLabel" ma:index="24" nillable="true" ma:displayName="Taxonomy Catch All Column1" ma:description="" ma:hidden="true" ma:list="{1938ef43-cdef-48d1-8789-cce817055115}" ma:internalName="TaxCatchAllLabel" ma:readOnly="true" ma:showField="CatchAllDataLabel" ma:web="1717d404-9bd2-4458-b4de-04e5105e3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17d404-9bd2-4458-b4de-04e5105e3024"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5E73-1FAB-43A8-A1A2-10DD5572854A}">
  <ds:schemaRefs>
    <ds:schemaRef ds:uri="http://schemas.microsoft.com/sharepoint/v3/contenttype/forms"/>
  </ds:schemaRefs>
</ds:datastoreItem>
</file>

<file path=customXml/itemProps2.xml><?xml version="1.0" encoding="utf-8"?>
<ds:datastoreItem xmlns:ds="http://schemas.openxmlformats.org/officeDocument/2006/customXml" ds:itemID="{4B501AD0-3ECC-47EA-B9C9-3997FC9D0F4A}">
  <ds:schemaRefs>
    <ds:schemaRef ds:uri="http://schemas.microsoft.com/sharepoint/events"/>
  </ds:schemaRefs>
</ds:datastoreItem>
</file>

<file path=customXml/itemProps3.xml><?xml version="1.0" encoding="utf-8"?>
<ds:datastoreItem xmlns:ds="http://schemas.openxmlformats.org/officeDocument/2006/customXml" ds:itemID="{A0F13442-DCB7-4D46-99B3-197C5838E09A}">
  <ds:schemaRefs>
    <ds:schemaRef ds:uri="Microsoft.SharePoint.Taxonomy.ContentTypeSync"/>
  </ds:schemaRefs>
</ds:datastoreItem>
</file>

<file path=customXml/itemProps4.xml><?xml version="1.0" encoding="utf-8"?>
<ds:datastoreItem xmlns:ds="http://schemas.openxmlformats.org/officeDocument/2006/customXml" ds:itemID="{7D73C331-6405-452E-983B-7C88DE825A94}">
  <ds:schemaRefs>
    <ds:schemaRef ds:uri="http://schemas.microsoft.com/office/2006/metadata/properties"/>
    <ds:schemaRef ds:uri="http://schemas.microsoft.com/office/infopath/2007/PartnerControls"/>
    <ds:schemaRef ds:uri="1ea36f58-26a4-42cb-b893-1f8833769e84"/>
    <ds:schemaRef ds:uri="1717d404-9bd2-4458-b4de-04e5105e3024"/>
  </ds:schemaRefs>
</ds:datastoreItem>
</file>

<file path=customXml/itemProps5.xml><?xml version="1.0" encoding="utf-8"?>
<ds:datastoreItem xmlns:ds="http://schemas.openxmlformats.org/officeDocument/2006/customXml" ds:itemID="{F65CFD57-7A1D-43FA-87FC-68F8E9CC0479}">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94B81948-1776-4530-80E3-9F1F5862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36f58-26a4-42cb-b893-1f8833769e84"/>
    <ds:schemaRef ds:uri="1717d404-9bd2-4458-b4de-04e5105e3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316C05A-EE51-4BA3-95B3-13E795D0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Comments Template</vt:lpstr>
    </vt:vector>
  </TitlesOfParts>
  <LinksUpToDate>false</LinksUpToDate>
  <CharactersWithSpaces>4342</CharactersWithSpaces>
  <SharedDoc>false</SharedDoc>
  <HLinks>
    <vt:vector size="12" baseType="variant">
      <vt:variant>
        <vt:i4>327716</vt:i4>
      </vt:variant>
      <vt:variant>
        <vt:i4>3</vt:i4>
      </vt:variant>
      <vt:variant>
        <vt:i4>0</vt:i4>
      </vt:variant>
      <vt:variant>
        <vt:i4>5</vt:i4>
      </vt:variant>
      <vt:variant>
        <vt:lpwstr>mailto:initiativecomments@caiso.com</vt:lpwstr>
      </vt:variant>
      <vt:variant>
        <vt:lpwstr/>
      </vt:variant>
      <vt:variant>
        <vt:i4>2031703</vt:i4>
      </vt:variant>
      <vt:variant>
        <vt:i4>0</vt:i4>
      </vt:variant>
      <vt:variant>
        <vt:i4>0</vt:i4>
      </vt:variant>
      <vt:variant>
        <vt:i4>5</vt:i4>
      </vt:variant>
      <vt:variant>
        <vt:lpwstr>http://www.caiso.com/informed/Pages/StakeholderProcesses/FrequencyResponsePhase2.aspx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dc:title>
  <dc:subject/>
  <dc:creator/>
  <cp:keywords/>
  <cp:lastModifiedBy/>
  <cp:revision>1</cp:revision>
  <dcterms:created xsi:type="dcterms:W3CDTF">2019-04-18T20:44:00Z</dcterms:created>
  <dcterms:modified xsi:type="dcterms:W3CDTF">2019-04-19T00:18:00Z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0x0101000734CA646575B1448E3720F53DF7BD5200C445BF1E79BBF0408FA67404FAC403B200B1B1E6442BA41D47BBECEA8F650295CD</vt:lpwstr>
  </property>
  <property fmtid="{D5CDD505-2E9C-101B-9397-08002B2CF9AE}" pid="3" name="ISOGroup">
    <vt:lpwstr/>
  </property>
  <property fmtid="{D5CDD505-2E9C-101B-9397-08002B2CF9AE}" pid="4" name="ISOArchive">
    <vt:lpwstr/>
  </property>
  <property fmtid="{D5CDD505-2E9C-101B-9397-08002B2CF9AE}" pid="5" name="ISOTopic">
    <vt:lpwstr>7;#Stakeholder processes|71659ab1-dac7-419e-9529-abc47c232b66</vt:lpwstr>
  </property>
  <property fmtid="{D5CDD505-2E9C-101B-9397-08002B2CF9AE}" pid="6" name="ISOKeywords">
    <vt:lpwstr/>
  </property>
  <property fmtid="{D5CDD505-2E9C-101B-9397-08002B2CF9AE}" pid="7" name="OriginalUriCopy">
    <vt:lpwstr/>
  </property>
  <property fmtid="{D5CDD505-2E9C-101B-9397-08002B2CF9AE}" pid="8" name="PageLink">
    <vt:lpwstr/>
  </property>
  <property fmtid="{D5CDD505-2E9C-101B-9397-08002B2CF9AE}" pid="9" name="OriginalURIBackup">
    <vt:lpwstr/>
  </property>
  <property fmtid="{D5CDD505-2E9C-101B-9397-08002B2CF9AE}" pid="10" name="_dlc_DocIdItemGuid">
    <vt:lpwstr>fe26f533-5cb7-4b05-8554-4cd4d56769ce</vt:lpwstr>
  </property>
  <property fmtid="{D5CDD505-2E9C-101B-9397-08002B2CF9AE}" pid="11" name="CategoryType">
    <vt:lpwstr/>
  </property>
  <property fmtid="{D5CDD505-2E9C-101B-9397-08002B2CF9AE}" pid="12" name="Entity">
    <vt:lpwstr>63;#California Independent System Operator|eac429c2-a03a-4144-9986-2fc5a3b3e278</vt:lpwstr>
  </property>
  <property fmtid="{D5CDD505-2E9C-101B-9397-08002B2CF9AE}" pid="13" name="Year">
    <vt:lpwstr/>
  </property>
  <property fmtid="{D5CDD505-2E9C-101B-9397-08002B2CF9AE}" pid="14" name="RecordType">
    <vt:lpwstr>5;#Reports and Studies|a2aaa8ad-92f4-469d-83d6-27501620d15d</vt:lpwstr>
  </property>
  <property fmtid="{D5CDD505-2E9C-101B-9397-08002B2CF9AE}" pid="15" name="DocumentType">
    <vt:lpwstr>116;#Comments|99b1ad4a-10d2-4a9a-9d56-678b7a91b543</vt:lpwstr>
  </property>
</Properties>
</file>